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CB4F8D8">
      <w:pPr>
        <w:pStyle w:val="1150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439D7BCA">
      <w:pPr>
        <w:pStyle w:val="1159"/>
        <w:pBdr/>
        <w:spacing/>
        <w:ind w:firstLine="14" w:left="-462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 w14:paraId="5E546479">
      <w:pPr>
        <w:pStyle w:val="1159"/>
        <w:pBdr/>
        <w:spacing/>
        <w:ind w:right="0" w:firstLine="14" w:left="142"/>
        <w:jc w:val="center"/>
        <w:rPr>
          <w:rFonts w:ascii="Calibri" w:hAnsi="Calibri" w:cs="Calibri"/>
          <w:b/>
          <w:bCs/>
          <w:sz w:val="28"/>
          <w:szCs w:val="28"/>
          <w:u w:val="none"/>
        </w:rPr>
      </w:pPr>
      <w:r>
        <w:rPr>
          <w:rFonts w:ascii="Calibri" w:hAnsi="Calibri" w:eastAsia="Calibri" w:cs="Calibri"/>
          <w:b/>
          <w:bCs/>
          <w:sz w:val="28"/>
          <w:szCs w:val="28"/>
          <w:u w:val="none"/>
        </w:rPr>
        <w:t xml:space="preserve">Plan działania</w:t>
      </w:r>
      <w:r>
        <w:rPr>
          <w:rFonts w:ascii="Calibri" w:hAnsi="Calibri" w:cs="Calibri"/>
          <w:b/>
          <w:bCs/>
          <w:sz w:val="28"/>
          <w:szCs w:val="28"/>
          <w:u w:val="none"/>
        </w:rPr>
      </w:r>
      <w:r>
        <w:rPr>
          <w:rFonts w:ascii="Calibri" w:hAnsi="Calibri" w:cs="Calibri"/>
          <w:b/>
          <w:bCs/>
          <w:sz w:val="28"/>
          <w:szCs w:val="28"/>
          <w:u w:val="none"/>
        </w:rPr>
      </w:r>
    </w:p>
    <w:p w14:paraId="43A5B1BC">
      <w:pPr>
        <w:pStyle w:val="1159"/>
        <w:pBdr/>
        <w:spacing/>
        <w:ind w:right="0" w:firstLine="14" w:left="142"/>
        <w:jc w:val="center"/>
        <w:rPr>
          <w:rFonts w:ascii="Calibri" w:hAnsi="Calibri" w:cs="Calibri"/>
          <w:b/>
          <w:bCs/>
          <w:sz w:val="28"/>
          <w:szCs w:val="28"/>
          <w:highlight w:val="none"/>
          <w:u w:val="none"/>
        </w:rPr>
      </w:pPr>
      <w:r>
        <w:rPr>
          <w:rFonts w:ascii="Calibri" w:hAnsi="Calibri" w:eastAsia="Calibri" w:cs="Calibri"/>
          <w:b/>
          <w:bCs/>
          <w:sz w:val="28"/>
          <w:szCs w:val="28"/>
          <w:u w:val="none"/>
        </w:rPr>
        <w:t xml:space="preserve">na rzecz poprawy zapewniania dostępności </w:t>
      </w:r>
      <w:r>
        <w:rPr>
          <w:rFonts w:ascii="Calibri" w:hAnsi="Calibri" w:eastAsia="Calibri" w:cs="Calibri"/>
          <w:b/>
          <w:bCs/>
          <w:sz w:val="28"/>
          <w:szCs w:val="28"/>
          <w:u w:val="none"/>
        </w:rPr>
        <w:t xml:space="preserve">osobom ze szczególnymi potrzebami</w:t>
      </w:r>
      <w:r>
        <w:rPr>
          <w:rFonts w:ascii="Calibri" w:hAnsi="Calibri" w:cs="Calibri"/>
          <w:b/>
          <w:bCs/>
          <w:sz w:val="28"/>
          <w:szCs w:val="28"/>
          <w:highlight w:val="none"/>
          <w:u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  <w:u w:val="none"/>
        </w:rPr>
      </w:r>
    </w:p>
    <w:p w14:paraId="4C5055A3">
      <w:pPr>
        <w:pStyle w:val="1159"/>
        <w:pBdr/>
        <w:spacing/>
        <w:ind w:right="0" w:firstLine="14" w:left="142"/>
        <w:jc w:val="center"/>
        <w:rPr>
          <w:rFonts w:ascii="Calibri" w:hAnsi="Calibri" w:cs="Calibri"/>
          <w:b w:val="0"/>
          <w:bCs w:val="0"/>
          <w:sz w:val="24"/>
          <w:szCs w:val="24"/>
          <w:u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w ramach realizacji postanowień ustawy z dnia 19 lipca 2019 r.</w:t>
      </w:r>
      <w:r>
        <w:rPr>
          <w:rFonts w:ascii="Calibri" w:hAnsi="Calibri" w:cs="Calibri"/>
          <w:b w:val="0"/>
          <w:bCs w:val="0"/>
          <w:sz w:val="24"/>
          <w:szCs w:val="24"/>
          <w:u w:val="none"/>
        </w:rPr>
      </w:r>
      <w:r>
        <w:rPr>
          <w:rFonts w:ascii="Calibri" w:hAnsi="Calibri" w:cs="Calibri"/>
          <w:b w:val="0"/>
          <w:bCs w:val="0"/>
          <w:sz w:val="24"/>
          <w:szCs w:val="24"/>
          <w:u w:val="none"/>
        </w:rPr>
      </w:r>
    </w:p>
    <w:p w14:paraId="4C0B3287">
      <w:pPr>
        <w:pStyle w:val="1159"/>
        <w:pBdr/>
        <w:spacing/>
        <w:ind w:right="0" w:firstLine="14" w:left="142"/>
        <w:jc w:val="center"/>
        <w:rPr>
          <w:rFonts w:ascii="Calibri" w:hAnsi="Calibri" w:cs="Calibri"/>
          <w:b w:val="0"/>
          <w:bCs w:val="0"/>
          <w:sz w:val="24"/>
          <w:szCs w:val="24"/>
          <w:highlight w:val="none"/>
          <w:u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 zapewnianiu dostępności </w:t>
      </w:r>
      <w: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osobom ze szczególnymi potrzebami</w:t>
      </w:r>
      <w:r>
        <w:rPr>
          <w:rFonts w:ascii="Calibri" w:hAnsi="Calibri" w:cs="Calibri"/>
          <w:b w:val="0"/>
          <w:bCs w:val="0"/>
          <w:sz w:val="24"/>
          <w:szCs w:val="24"/>
          <w:highlight w:val="none"/>
          <w:u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  <w:u w:val="none"/>
        </w:rPr>
      </w:r>
    </w:p>
    <w:p w14:paraId="1B62D036">
      <w:pPr>
        <w:pStyle w:val="1159"/>
        <w:pBdr/>
        <w:spacing/>
        <w:ind w:right="0" w:firstLine="14" w:left="142"/>
        <w:jc w:val="center"/>
        <w:rPr>
          <w:rFonts w:ascii="Calibri" w:hAnsi="Calibri" w:cs="Calibri"/>
          <w:b w:val="0"/>
          <w:bCs w:val="0"/>
          <w:sz w:val="24"/>
          <w:szCs w:val="24"/>
          <w:u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r>
      <w:r>
        <w:rPr>
          <w:rFonts w:ascii="Calibri" w:hAnsi="Calibri" w:cs="Calibri"/>
          <w:b w:val="0"/>
          <w:bCs w:val="0"/>
          <w:sz w:val="24"/>
          <w:szCs w:val="24"/>
          <w:u w:val="none"/>
        </w:rPr>
      </w:r>
      <w:r>
        <w:rPr>
          <w:rFonts w:ascii="Calibri" w:hAnsi="Calibri" w:cs="Calibri"/>
          <w:b w:val="0"/>
          <w:bCs w:val="0"/>
          <w:sz w:val="24"/>
          <w:szCs w:val="24"/>
          <w:u w:val="none"/>
        </w:rPr>
      </w:r>
    </w:p>
    <w:p w14:paraId="0967B5BC">
      <w:pPr>
        <w:pStyle w:val="1159"/>
        <w:pBdr/>
        <w:spacing/>
        <w:ind w:right="0" w:firstLine="14" w:left="142"/>
        <w:jc w:val="center"/>
        <w:rPr>
          <w:rFonts w:ascii="Calibri" w:hAnsi="Calibri" w:cs="Calibri"/>
          <w:b/>
          <w:bCs/>
          <w:sz w:val="24"/>
          <w:szCs w:val="24"/>
          <w:highlight w:val="none"/>
          <w:u w:val="none"/>
        </w:rPr>
      </w:pPr>
      <w:r>
        <w:rPr>
          <w:rFonts w:ascii="Calibri" w:hAnsi="Calibri" w:eastAsia="Calibri" w:cs="Calibri"/>
          <w:b/>
          <w:bCs/>
          <w:sz w:val="24"/>
          <w:szCs w:val="24"/>
          <w:u w:val="none"/>
        </w:rPr>
        <w:t xml:space="preserve">I. Analiza stanu zapewnienia dostępności:</w:t>
      </w:r>
      <w:r>
        <w:rPr>
          <w:rFonts w:ascii="Calibri" w:hAnsi="Calibri" w:cs="Calibri"/>
          <w:b/>
          <w:bCs/>
          <w:sz w:val="24"/>
          <w:szCs w:val="24"/>
          <w:highlight w:val="none"/>
          <w:u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  <w:u w:val="none"/>
        </w:rPr>
      </w:r>
    </w:p>
    <w:p w14:paraId="056A332E">
      <w:pPr>
        <w:pStyle w:val="1159"/>
        <w:pBdr/>
        <w:spacing/>
        <w:ind w:firstLine="0" w:left="0"/>
        <w:jc w:val="center"/>
        <w:rPr>
          <w:rFonts w:ascii="Calibri" w:hAnsi="Calibri" w:cs="Calibri"/>
          <w:b w:val="0"/>
          <w:bCs w:val="0"/>
          <w:sz w:val="24"/>
          <w:szCs w:val="24"/>
          <w:u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  <w:u w:val="none"/>
        </w:rPr>
      </w:r>
      <w:r>
        <w:rPr>
          <w:rFonts w:ascii="Calibri" w:hAnsi="Calibri" w:cs="Calibri"/>
          <w:b w:val="0"/>
          <w:bCs w:val="0"/>
          <w:sz w:val="24"/>
          <w:szCs w:val="24"/>
          <w:u w:val="none"/>
        </w:rPr>
      </w:r>
      <w:r>
        <w:rPr>
          <w:rFonts w:ascii="Calibri" w:hAnsi="Calibri" w:cs="Calibri"/>
          <w:b w:val="0"/>
          <w:bCs w:val="0"/>
          <w:sz w:val="24"/>
          <w:szCs w:val="24"/>
          <w:u w:val="none"/>
        </w:rPr>
      </w:r>
    </w:p>
    <w:tbl>
      <w:tblPr>
        <w:tblStyle w:val="822"/>
        <w:tblInd w:w="357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245"/>
      </w:tblGrid>
      <w:tr>
        <w:trPr/>
        <w:tc>
          <w:tcPr>
            <w:gridSpan w:val="3"/>
            <w:tcBorders/>
            <w:tcW w:w="9072" w:type="dxa"/>
          </w:tcPr>
          <w:p w14:paraId="3B9495F0">
            <w:pPr>
              <w:pStyle w:val="1159"/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  <w:t xml:space="preserve">Dostępność architektoniczna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21DEC98A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1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260" w:type="dxa"/>
          </w:tcPr>
          <w:p w14:paraId="0FEFCA8B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Zapewnienie wolnych od barier poziomych i pionowych przestrzeni komunikacyjnych budynków.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5245" w:type="dxa"/>
          </w:tcPr>
          <w:p w14:paraId="591F86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u w:val="none"/>
              </w:rPr>
              <w:t xml:space="preserve">Siedziba Centrum Integracji Społecznej w Strzyżowie zlokalizowana jest  przy ul. Witosa 14A w Strzyżowie w niedalekiej odległości od dworca PKS oraz PKP.</w:t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u w:val="none"/>
              </w:rPr>
            </w:r>
          </w:p>
          <w:p w14:paraId="50CB85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u w:val="none"/>
              </w:rPr>
              <w:t xml:space="preserve">Jest to obiekt parterowy, posiadający dwa wejścia: główne wej</w:t>
            </w:r>
            <w:r>
              <w:rPr>
                <w:rFonts w:ascii="Calibri" w:hAnsi="Calibri" w:eastAsia="Calibri" w:cs="Calibri"/>
                <w:color w:val="000000"/>
                <w:sz w:val="24"/>
                <w:u w:val="none"/>
              </w:rPr>
              <w:t xml:space="preserve">ście - posiada podjazd (pochylnię) wraz z poręczą dla osób niepełnosprawnych, natomiast wejście drugie umożliwia bezpośredni dostęp do  budynku  z poziomu chodnika.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  <w:u w:val="none"/>
              </w:rPr>
            </w:r>
          </w:p>
          <w:p w14:paraId="23900B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u w:val="none"/>
              </w:rPr>
              <w:t xml:space="preserve">Centrum nie posiada własnych miejsc parkingowych. Zarówno pracownicy, uczestnicy jak i klienci CIS korzystają z ogólnodostępnych miejsc parkingowych zlokalizowa</w:t>
            </w:r>
            <w:r>
              <w:rPr>
                <w:rFonts w:ascii="Calibri" w:hAnsi="Calibri" w:eastAsia="Calibri" w:cs="Calibri"/>
                <w:color w:val="000000"/>
                <w:sz w:val="24"/>
                <w:u w:val="none"/>
              </w:rPr>
              <w:t xml:space="preserve">nych w dużej ilości w pobliżu budynku. Są tam również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u w:val="none"/>
              </w:rPr>
              <w:t xml:space="preserve">miejsca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u w:val="none"/>
              </w:rPr>
              <w:t xml:space="preserve"> parkingowe dedykowane osobom z niepełnosprawnościami.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  <w:u w:val="none"/>
                <w14:ligatures w14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468006A9">
            <w:pPr>
              <w:pStyle w:val="1159"/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260" w:type="dxa"/>
          </w:tcPr>
          <w:p w14:paraId="2A524684">
            <w:pPr>
              <w:pStyle w:val="1159"/>
              <w:pBdr/>
              <w:spacing w:after="0"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Instalacja urządzeń lub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zastosowanie środków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technicznych i rozwiązań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architektonicznych 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budynku, które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umożliwiają dostęp do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wszystkich pomieszczeń,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 wyłączeniem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pomieszczeń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technicznych.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16111BE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Budynek w którym mieści się Centrum nie posiada schodów, ani wind. Dostęp do pomieszczeń znajdujących się wewnątrz zapewnia szeroki korytarz umożliwiający również osobie z niepełnosprawnością ruchową poruszającej się na wózku, dostęp do wszystkich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pomieszczeń.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  <w:p w14:paraId="01E562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Na korytarzu, w miejscu różnicy poziomów podłoża znajduje się dodatkowo pochylnia dla osób poruszających się na wózku oraz poręcz, a wszystkie drzwi w budynku mają szerokość min.90 cm.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  <w:p w14:paraId="40BCA3AE">
            <w:pPr>
              <w:pStyle w:val="1159"/>
              <w:pBdr/>
              <w:spacing w:line="276" w:lineRule="auto"/>
              <w:ind w:left="0"/>
              <w:rPr>
                <w:rFonts w:ascii="Calibri" w:hAnsi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Jedna z dwóch toalet została przystosowana do potrzeb osób z niepełnosprawnością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ruchową. Pomieszczenie posiada poręcze i uchwyty dla niepełnosprawnych oraz 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system przyzywowy połączony ze stanowiskiem pracy instruktorów reintegracji zawodowej 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70202472">
            <w:pPr>
              <w:pStyle w:val="1159"/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260" w:type="dxa"/>
          </w:tcPr>
          <w:p w14:paraId="02EB16E1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Zapewnienie informacji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na temat rozkładu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pomieszczeń w budynku,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co najmniej w sposób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wizualny i dotykowy lub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głosowy.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43812D3A">
            <w:pPr>
              <w:pStyle w:val="1159"/>
              <w:pBdr/>
              <w:spacing w:line="276" w:lineRule="auto"/>
              <w:ind w:left="0"/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W budynku, </w:t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w odległości ok 2 metrów od głównego wejścia,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na ścianie,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po lewej stronie, znajduje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się plan pomieszczeń z wyznaczonymi drogami ewakuacji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74538CC4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260" w:type="dxa"/>
          </w:tcPr>
          <w:p w14:paraId="138721D3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Zapewnienie wstępu do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budynku osobie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korzystającej z psa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asystującego, o którym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mowa w art. 2 pkt 11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ustawy z dnia 27 sierpnia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1997 r. o rehabilitacji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zawodowej i społecznej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oraz zatrudnianiu osób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niepełnosprawnych (t.j. Dz.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U. z 2020 r. poz. 426, 568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 875).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4ACF0255">
            <w:pPr>
              <w:pStyle w:val="1159"/>
              <w:pBdr/>
              <w:spacing w:line="276" w:lineRule="auto"/>
              <w:ind w:left="0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Warunkiem skorzystania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z uprawnienia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przez osobę niepełnosprawną jest konieczność posiadania certyfikatu, który potwierdza status psa asystującego. Z uwagi na specyfikę jednostki, będącej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miejscem pobytu dziennego kilkunastu osób korzystających ze wsparcia w ramach prowadzonej przez Centrum reintegracji społeczno – zawodowej, 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możliwy jest dostęp do części administracyjnej budynku– poprzez drugie wejście oraz do strefy pracy instruktorów reintegracji zawodowej – poprzez wejście główne. Ponadto pies powinien być wyposażony w uprząż.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7ED79855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260" w:type="dxa"/>
          </w:tcPr>
          <w:p w14:paraId="2C8D5E0F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Zapewnienie osobom ze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szczególnymi potrzebami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możliwości ewakuacji lub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ich uratowania w inny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sposób.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  <w:p w14:paraId="0E239FA0">
            <w:pPr>
              <w:pStyle w:val="1159"/>
              <w:pBdr/>
              <w:spacing w:line="276" w:lineRule="auto"/>
              <w:ind w:right="0" w:firstLine="0" w:left="142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245" w:type="dxa"/>
          </w:tcPr>
          <w:p w14:paraId="25D6A406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Budynek posiada oznakowanie znakami ewakuacyjnymi wg wzoru określonego w Polskiej Normie, zgodnie z zasadami umieszczania znaków bezpieczeństwa na drogach ewakuacji oraz znakami ochrony przeciwpożarowej.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  <w:p w14:paraId="42A9B99F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W toalecie dla osób z niepełnosprawnościami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został zainstalowany alarmowy system przyzywowy.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</w:p>
          <w:p w14:paraId="53F22769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Z uwagi na układ pomieszczeń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w budynku, (korytarz główny, z którego prowadzą wejścia do poszczególnych pomieszczeń) oraz fakt, iż w godzinach pracy Centrum w budynku przebywa jednocześnie 1-5 pracowników, możliwa jest szybka reakcja na zagrożenie oraz podjęcie czynności ewakuacyjnych.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>
          <w:trHeight w:val="533"/>
        </w:trPr>
        <w:tc>
          <w:tcPr>
            <w:gridSpan w:val="3"/>
            <w:tcBorders/>
            <w:tcW w:w="9072" w:type="dxa"/>
          </w:tcPr>
          <w:p w14:paraId="45C27626">
            <w:pPr>
              <w:pStyle w:val="1159"/>
              <w:pBdr/>
              <w:spacing/>
              <w:ind w:left="0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  <w:t xml:space="preserve">Dostępność cyfrowa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822"/>
        <w:tblInd w:w="358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245"/>
      </w:tblGrid>
      <w:tr>
        <w:trPr/>
        <w:tc>
          <w:tcPr>
            <w:tcBorders/>
            <w:tcW w:w="567" w:type="dxa"/>
          </w:tcPr>
          <w:p w14:paraId="239F6C7A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15BB883F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Wymagania określone w ustawie z dnia 4 kwietnia 2019 roku o dostępności cyfrowej stron internetowych i aplikacji mobilnych podmiotów publicznych.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70A53C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  <w:u w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Strona została przystosowana zgodnie ze specyfikacją </w:t>
            </w:r>
            <w:hyperlink r:id="rId11" w:tooltip="https://www.w3.org/TR/WCAG20/" w:history="1">
              <w:r>
                <w:rPr>
                  <w:rStyle w:val="991"/>
                  <w:rFonts w:ascii="Calibri" w:hAnsi="Calibri" w:eastAsia="Calibri" w:cs="Calibri"/>
                  <w:b/>
                  <w:color w:val="auto"/>
                  <w:sz w:val="24"/>
                  <w:szCs w:val="24"/>
                  <w:highlight w:val="white"/>
                  <w:u w:val="none"/>
                </w:rPr>
                <w:t xml:space="preserve">Web Content Accessibility Guidelines (WCAG) w wersji 2.1 na poziomie A</w:t>
              </w:r>
              <w:r>
                <w:rPr>
                  <w:rStyle w:val="991"/>
                  <w:rFonts w:ascii="Calibri" w:hAnsi="Calibri" w:eastAsia="Calibri" w:cs="Calibri"/>
                  <w:b/>
                  <w:color w:val="auto"/>
                  <w:sz w:val="24"/>
                  <w:szCs w:val="24"/>
                  <w:highlight w:val="white"/>
                  <w:u w:val="none"/>
                </w:rPr>
                <w:t xml:space="preserve">A</w:t>
              </w:r>
              <w:r>
                <w:rPr>
                  <w:rStyle w:val="991"/>
                  <w:rFonts w:ascii="Calibri" w:hAnsi="Calibri" w:eastAsia="Calibri" w:cs="Calibri"/>
                  <w:color w:val="auto"/>
                  <w:sz w:val="24"/>
                  <w:szCs w:val="24"/>
                  <w:highlight w:val="white"/>
                  <w:u w:val="none"/>
                </w:rPr>
                <w:t xml:space="preserve">. </w:t>
              </w:r>
            </w:hyperlink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  <w:u w:val="non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  <w:u w:val="none"/>
              </w:rPr>
            </w:r>
          </w:p>
          <w:p w14:paraId="5CA79BA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Opracowanie to, przygotowane przez organizację World Wide Web Consortium (W3C) uznaje się za najważniejszy dokument objaśniający zasady dostępności. Poniżej zamieszczamy wytyczne ze specyfikacji wraz z komentarzem, w jakim zakresie poszczególne wytyczne zo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stały zrealizowane.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46EE42D5">
            <w:pPr>
              <w:pStyle w:val="9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ZASADA 1: POSTRZEGALNOŚĆ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000F24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1.1 TEKST ALTERNATYWNY –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elementy nietekstowe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, czyli zdjęcia i grafiki na stronach mają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tekst alternatywny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, tak, by mogły być one także dostępne dla osób niewidomych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yellow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yellow"/>
              </w:rPr>
            </w:r>
          </w:p>
          <w:p w14:paraId="6306C6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1.2 MEDIA ZALEŻNE OD CZASU – na stronie materiały audiowizualne i audio pojawiają się sporadycznie i nie mają znaczenia wiodącego w przekazywaniu istotnych treści, w związku z tym nie wprowadzono dokładnych transkrypcji. Do nagrań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dodano opis ogólny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, uzupełniony o treść wpisu / strony na której się znajdują. 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4E7480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1.3 MOŻLIWOŚĆ ADAPTACJI – dołożyliśmy starań, by struktura strony była jasna i przejrzysta. W tym celu wdrożyliśmy następujące rozwiązania: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stosowanie nagłówków w odpowiedniej hierarchii, używanie list do grupowania linków, np. menu, sprawdzenie i korekta sekwencji nawigacji oraz czytania pod kątem logiki i intuicyjności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. Na stronie nie ma tabel, ani formularzy kontaktowych. 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34D33E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1.4 TREŚĆ ROZRÓŻNIALNA – na stronie został wdrożony mechanizm umożliwiający zmianę następujących parametrów: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rozmiar czcionki, czytelność czcionki, skala szarości, wysoki kontrast, negatywny kontrast, jasne tło, podkreślenie linków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. Aby wywołać narzędzia dostępności, należy wywołać menu, używając niebieskiej ikony widocznej w prawym górnym rogu ekranu. Wtyczka pozwala na zapamiętanie preferencji użytkownika i przechowuje te dane przez 12 h.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7339D413">
            <w:pPr>
              <w:pStyle w:val="9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ZASADA 2: FUNKCJONALNOŚĆ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0EF6F89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2.1 DOSTĘPNOŚĆ PRZY POMOCY KLAWIATURY – dołożyliśmy starań, aby każdy element serwisu,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każda jego funkcjonalność była dostępna przy użyciu klawiatury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. Po stronie można poruszać się korzystając wyłącznie z klawiatury za pomocą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klawisza Tab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i innych skrótów klawiaturowych;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5FB232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2.2 WYSTARCZAJĄCA ILOŚĆ CZASU – na stronie nie ma zmieniających się dynamicznie treści, co daje użytkownikom możliwość na przeczytanie i przetworzenie wszystkich treści bez limitu czasu;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12442D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2.3 ATAKI PADACZKI – na stronie nie ma elementów, które mogłyby spowodować atak padaczki.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53BC143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2.4 NAWIGACJA – przygotowaliśmy narzędzia, które pomogą użytkownikowi w nawigacji, znalezieniu treści i określeniu, gdzie się aktualnie znajduje. Wdrożono następujące rozwiązania: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cel i kontekst linku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– linki są opisane w jasny sposób z określeniem celu, tak, by użytkownik nie miał wątpliwości do tego, gdzie zostanie przekierowany, wszystkie linki otwierają się w tej samej karcie;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wiele dróg: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dołożyliśmy starań, by użytkownik mógł szybko dotrzeć do informacji lub ją odnaleźć, w tym celu utworzyliśmy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mapę strony: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</w:t>
            </w:r>
            <w:hyperlink r:id="rId12" w:tooltip="https://cisstrzyzow.pl/mapa-strony" w:history="1">
              <w:r>
                <w:rPr>
                  <w:rStyle w:val="991"/>
                  <w:rFonts w:ascii="Calibri" w:hAnsi="Calibri" w:eastAsia="Calibri" w:cs="Calibri"/>
                  <w:color w:val="auto"/>
                  <w:sz w:val="24"/>
                  <w:szCs w:val="24"/>
                  <w:highlight w:val="white"/>
                  <w:u w:val="single"/>
                </w:rPr>
                <w:t xml:space="preserve">https://cisstrzyzow.pl/mapa-strony</w:t>
              </w:r>
            </w:hyperlink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na której użytkownik może odnaleźć listę wszystkich stron i wpisów oraz skorzystać z możliwości wyszukania;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widoczność zaznaczenia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– elementy zaznaczone są zaakcentowane czerwoną ramka; </w:t>
            </w: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lokalizacja – ścieżka okruszków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 (breadcrumb – okruszki chleba) – na stronach umieszczono ścieżkę nawigacyjną, czyli linki powrotne do stron nadrzędnych;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179B65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2.5 SPOSOBY WPROWADZANIA DANYCH – nie dotyczy.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71F9C76B">
            <w:pPr>
              <w:pStyle w:val="9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auto"/>
                <w:sz w:val="24"/>
                <w:szCs w:val="24"/>
                <w:highlight w:val="white"/>
              </w:rPr>
              <w:t xml:space="preserve">ZASADA 3 i 4: ZROZUMIAŁOŚĆ I KOMPATYBILNOŚĆ</w:t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color w:val="auto"/>
                <w:sz w:val="24"/>
                <w:szCs w:val="24"/>
                <w:highlight w:val="white"/>
              </w:rPr>
            </w:r>
          </w:p>
          <w:p w14:paraId="35DF73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white"/>
              </w:rPr>
              <w:t xml:space="preserve">Dołożyliśmy starań, aby treści umieszczane na stronie były czytelne i łatwe do zrozumienia, a poruszanie po stronie przewidywalne.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</w:p>
          <w:p w14:paraId="3D4F6570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Szczegółowe informacje dotyczące dostępności cyfrowej strony internetowej, zawarte zostały w deklaracji dostępności, której pełny tekst dostępny jest pod adresem: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  <w:p w14:paraId="6056BBAB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hyperlink r:id="rId13" w:tooltip="https://cisstrzyzow.pl/deklaracja-dostepnosci/" w:history="1">
              <w:r>
                <w:rPr>
                  <w:rStyle w:val="991"/>
                  <w:rFonts w:ascii="Calibri" w:hAnsi="Calibri" w:cs="Calibri"/>
                  <w:b w:val="0"/>
                  <w:bCs w:val="0"/>
                  <w:sz w:val="24"/>
                  <w:szCs w:val="24"/>
                </w:rPr>
                <w:t xml:space="preserve">https://cisstrzyzow.pl/deklaracja-dostepnosci/</w:t>
              </w:r>
              <w:r>
                <w:rPr>
                  <w:rStyle w:val="991"/>
                  <w:rFonts w:ascii="Calibri" w:hAnsi="Calibri" w:cs="Calibri"/>
                  <w:b w:val="0"/>
                  <w:bCs w:val="0"/>
                  <w:sz w:val="24"/>
                  <w:szCs w:val="24"/>
                </w:rPr>
              </w:r>
            </w:hyperlink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9072" w:type="dxa"/>
          </w:tcPr>
          <w:p w14:paraId="426AB3A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 xml:space="preserve">Dostępność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 xml:space="preserve">informacyjno -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 xml:space="preserve">komunikacyjna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10618D15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6D99B9B6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Obsługa z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wykorzystaniem środków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wspierających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komunikowanie się, o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których mowa w art. 3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pkt 5 ustawy z dnia 19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sierpnia 2011 r. o języku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migowym i innych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środkach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komunikowania się (t.j. Dz.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U.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z 2017 r., poz. 1824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)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lub przez wykorzystanie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zdalnego dostępu online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do usługi tłumacza przez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strony internetowe i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aplikacje.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6661E75F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Kontakt z nami możliwy jest w szczególności za pośrednictwem: poczty elektronicznej (główny adres mailowy służący do komunikacji z jednostką : kierownikcis@strzyzow.pl),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wiadomości tekstowych, w tym wiadomości 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SMS, MMS (tel. +48 535 976 983) lub komunikatorów internetowych (Messenger), oraz 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komunikacji audiowizualnej z wykorzystaniem dostępnych komunikatorów 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internetowych 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(m.in. Messenger, WhatsApp)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</w:r>
          </w:p>
          <w:p w14:paraId="16D4BEC5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auto"/>
                <w:sz w:val="24"/>
              </w:rPr>
              <w:t xml:space="preserve">Centrum nie dysponuje osobą tłumacza polskiego języka migowego (PJM) na miejscu ani też w formie kontaktu online. </w:t>
            </w: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</w:r>
            <w:r/>
          </w:p>
          <w:p w14:paraId="6617B22B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</w:rPr>
            </w:r>
            <w:r>
              <w:rPr>
                <w:rFonts w:ascii="Calibri" w:hAnsi="Calibri" w:eastAsia="Calibri" w:cs="Calibri"/>
                <w:color w:val="auto"/>
                <w:sz w:val="24"/>
              </w:rPr>
              <w:t xml:space="preserve">Jesteśmy jednak gotowi do przekazania żądanej przez osobę z niepełnosprawnością informacji w alternatywny, wskazany przez nią sposób.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</w:p>
          <w:p w14:paraId="62485037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</w:tcPr>
          <w:p w14:paraId="05487F7B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7D48A99D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Instalacja urządzeń lub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innych środków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technicznych do obsługi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osób słabosłyszących, 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szczególności pętli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indukcyjnych, systemów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FM lub urządzeń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opartych o inne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technologie, których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celem jest wspomaganie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słyszenia.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021EBA31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W budynku Centrum nie ma pętli indukcyjnych,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systemów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FM ani urządzeń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opartych o inne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technologie, których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celem jest wspomaganie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słyszenia.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</w:p>
          <w:p w14:paraId="42B2164E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</w:rPr>
            </w:r>
            <w:r>
              <w:rPr>
                <w:rFonts w:ascii="Calibri" w:hAnsi="Calibri" w:eastAsia="Calibri" w:cs="Calibri"/>
                <w:color w:val="auto"/>
                <w:sz w:val="24"/>
              </w:rPr>
              <w:t xml:space="preserve">Jesteśmy jednak gotowi do przekazania żądanej przez osobę z niepełnosprawnością informacji w alternatywny, wskazany przez nią sposób.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03B8A88B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661A0666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Zapewnienie na stronie internetowej podmiotu informacji o zakresie jego działalności- w postaci elektronicznego pliku zawierającego tekst odczytywalny maszynowo, nagrania treści w polskim języku migowym oraz informacji w tekście łatwym do czytania.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223E447D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Na stronie internetowej Centrum nie ma informacji o działalności jednostki w postaci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pliku zawierającego tekst odczytywalny maszynowo, nagrania treści w polskim języku migowym oraz informacji w tekście łatwym do czytania.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</w:tcPr>
          <w:p w14:paraId="10826AE4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5B35E42C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Zapewnienie na wniosek osoby ze szczególnymi potrzebami, komunikacji z podmiotem publicznym w formie określonej w tym wniosku.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7B52F084">
            <w:pPr>
              <w:pStyle w:val="1159"/>
              <w:pBdr/>
              <w:spacing w:line="276" w:lineRule="auto"/>
              <w:ind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W miarę posiadanych przez jednostkę możliwości finansowych, możemy zlecić usługę umożliwiającą komunikację z Centrum, w określonej przez osobę z niepełnosprawnością formie,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podmiotowi zewnętrznemu. 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</w:tr>
    </w:tbl>
    <w:p w14:paraId="3B9DDF97">
      <w:pPr>
        <w:pStyle w:val="1159"/>
        <w:pBdr/>
        <w:spacing/>
        <w:ind w:firstLine="0" w:left="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 w14:paraId="678472B5">
      <w:pPr>
        <w:pStyle w:val="1159"/>
        <w:pBdr/>
        <w:spacing/>
        <w:ind w:firstLine="0" w:left="0"/>
        <w:jc w:val="left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 w14:paraId="06F39A66">
      <w:pPr>
        <w:pStyle w:val="1159"/>
        <w:pBdr/>
        <w:spacing/>
        <w:ind w:right="0" w:firstLine="14" w:left="0"/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II. Planowane działania </w:t>
      </w:r>
      <w:r>
        <w:rPr>
          <w:rFonts w:ascii="Calibri" w:hAnsi="Calibri" w:cs="Calibri"/>
          <w:b/>
          <w:bCs/>
          <w:sz w:val="24"/>
          <w:szCs w:val="24"/>
        </w:rPr>
        <w:t xml:space="preserve">w zakresie poprawy zapewniania dostępności </w: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 w14:paraId="4DCC680B">
      <w:pPr>
        <w:pStyle w:val="1159"/>
        <w:pBdr/>
        <w:spacing/>
        <w:ind w:right="0" w:firstLine="14" w:left="0"/>
        <w:jc w:val="center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osobom ze szczególnymi potrzebami</w:t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 w14:paraId="2D5884CC">
      <w:pPr>
        <w:pStyle w:val="1159"/>
        <w:pBdr/>
        <w:spacing/>
        <w:ind w:firstLine="14" w:left="-46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tbl>
      <w:tblPr>
        <w:tblStyle w:val="822"/>
        <w:tblInd w:w="357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245"/>
      </w:tblGrid>
      <w:tr>
        <w:trPr>
          <w:trHeight w:val="438"/>
        </w:trPr>
        <w:tc>
          <w:tcPr>
            <w:gridSpan w:val="3"/>
            <w:tcBorders/>
            <w:tcW w:w="9072" w:type="dxa"/>
          </w:tcPr>
          <w:p w14:paraId="7FE9AD06">
            <w:pPr>
              <w:pStyle w:val="1159"/>
              <w:pBdr/>
              <w:spacing/>
              <w:ind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  <w:t xml:space="preserve">Dostępność architektoniczna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</w:p>
        </w:tc>
      </w:tr>
      <w:tr>
        <w:trPr>
          <w:trHeight w:val="378"/>
        </w:trPr>
        <w:tc>
          <w:tcPr>
            <w:tcBorders/>
            <w:tcW w:w="567" w:type="dxa"/>
            <w:vMerge w:val="restart"/>
          </w:tcPr>
          <w:p w14:paraId="7D2DCD90">
            <w:pPr>
              <w:pStyle w:val="1159"/>
              <w:pBdr/>
              <w:spacing/>
              <w:ind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3260" w:type="dxa"/>
            <w:vMerge w:val="restart"/>
          </w:tcPr>
          <w:p w14:paraId="6E8921C0">
            <w:pPr>
              <w:pStyle w:val="1159"/>
              <w:pBdr/>
              <w:spacing/>
              <w:ind w:right="0" w:firstLine="0" w:left="-142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  <w:t xml:space="preserve">Zadanie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/>
            <w:tcW w:w="5245" w:type="dxa"/>
            <w:vMerge w:val="restart"/>
          </w:tcPr>
          <w:p w14:paraId="0A2E176C">
            <w:pPr>
              <w:pStyle w:val="1159"/>
              <w:pBdr/>
              <w:spacing/>
              <w:ind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  <w:t xml:space="preserve">Planowane działania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611B9365">
            <w:pPr>
              <w:pStyle w:val="1159"/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260" w:type="dxa"/>
          </w:tcPr>
          <w:p w14:paraId="388617AF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Zapewnienie informacji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na temat rozkładu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pomieszczeń w budynku,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co najmniej w sposób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wizualny i dotykowy lub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głosowy.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4FEB198F">
            <w:pPr>
              <w:pStyle w:val="1159"/>
              <w:pBdr/>
              <w:spacing w:line="276" w:lineRule="auto"/>
              <w:ind w:left="0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highlight w:val="none"/>
                <w:u w:val="single"/>
              </w:rPr>
              <w:t xml:space="preserve">Plan tyflograficzny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r>
          </w:p>
          <w:p w14:paraId="6AB390F9">
            <w:pPr>
              <w:pStyle w:val="1159"/>
              <w:pBdr/>
              <w:spacing w:line="276" w:lineRule="auto"/>
              <w:ind w:left="0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highlight w:val="none"/>
              </w:rPr>
              <w:t xml:space="preserve">Planowane jest zlecenie wykonania</w:t>
            </w:r>
            <w:r>
              <w:rPr>
                <w:rFonts w:ascii="Calibri" w:hAnsi="Calibri" w:eastAsia="Calibri" w:cs="Calibri"/>
                <w:color w:val="auto"/>
                <w:sz w:val="24"/>
              </w:rPr>
              <w:t xml:space="preserve"> planu tyflograficznego. 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Zawarte w planie tyflograficznym informacje będą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możliwe do odczytania Braille’m oraz przy pomocy oznaczeń dotykowych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</w:tcPr>
          <w:p w14:paraId="779E1C31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260" w:type="dxa"/>
          </w:tcPr>
          <w:p w14:paraId="04E2EC3E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Zapewnienie osobom ze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szczególnymi potrzebami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możliwości ewakuacji lub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ich uratowania w inny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sposób.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  <w:p w14:paraId="3E582A39">
            <w:pPr>
              <w:pStyle w:val="1159"/>
              <w:pBdr/>
              <w:spacing w:line="276" w:lineRule="auto"/>
              <w:ind w:right="0" w:firstLine="0" w:left="142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  <w:p w14:paraId="3512141F">
            <w:pPr>
              <w:pStyle w:val="1159"/>
              <w:pBdr/>
              <w:spacing w:line="276" w:lineRule="auto"/>
              <w:ind w:right="0" w:firstLine="0" w:left="142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245" w:type="dxa"/>
          </w:tcPr>
          <w:p w14:paraId="215ADA7E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single"/>
              </w:rPr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  <w:u w:val="single"/>
              </w:rPr>
              <w:t xml:space="preserve">Instrukcja postępowania na wypadek powstania pożaru lub innego miejs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  <w:u w:val="single"/>
              </w:rPr>
              <w:t xml:space="preserve">cowego zagrożenia oraz procedura</w:t>
            </w:r>
            <w:r>
              <w:rPr>
                <w:rFonts w:ascii="Calibri" w:hAnsi="Calibri" w:cs="Calibri"/>
                <w:b/>
                <w:color w:val="auto"/>
                <w:sz w:val="24"/>
                <w:szCs w:val="24"/>
                <w:u w:val="single"/>
              </w:rPr>
              <w:t xml:space="preserve"> ewakuacji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r>
          </w:p>
          <w:p w14:paraId="2509FE5E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Planowane jest opracowanie we współpracy z inspektorem ds. BHP 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instrukcji postępowania na wypadek powstania pożaru lub innego miejs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cowego zagrożenia oraz procedura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ewakuacji 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osób przebywających na terenie 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Centrum Integracji Społecznej w Strzyżowie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.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  <w:u w:val="none"/>
              </w:rPr>
            </w:r>
          </w:p>
          <w:p w14:paraId="4EC53995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Czujniki dymu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r>
          </w:p>
          <w:p w14:paraId="09DDA0B0">
            <w:pPr>
              <w:pStyle w:val="1159"/>
              <w:pBdr/>
              <w:spacing w:line="276" w:lineRule="auto"/>
              <w:ind w:left="0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Planowany jest zakup kilku czujników dymu, które zostaną zamontowane w kluczowych pomieszczeniach. 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none"/>
              </w:rPr>
            </w:r>
          </w:p>
          <w:p w14:paraId="3E81B71F">
            <w:pPr>
              <w:pStyle w:val="1159"/>
              <w:pBdr/>
              <w:spacing w:line="276" w:lineRule="auto"/>
              <w:ind w:left="0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Kontrastowe oznaczenia szklanych powierzchni pionowych (ścian oraz drzwi)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r>
          </w:p>
          <w:p w14:paraId="6496A715">
            <w:pPr>
              <w:pStyle w:val="1159"/>
              <w:pBdr/>
              <w:spacing w:line="276" w:lineRule="auto"/>
              <w:ind w:left="0"/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Szklane ściany oraz drzwi w budynku zostaną oznaczone kontrastową taśmą.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9072" w:type="dxa"/>
          </w:tcPr>
          <w:p w14:paraId="2A14A604">
            <w:pPr>
              <w:pStyle w:val="1159"/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  <w:u w:val="none"/>
              </w:rPr>
              <w:t xml:space="preserve">Dostępność cyfrowa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822"/>
        <w:tblInd w:w="358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245"/>
      </w:tblGrid>
      <w:tr>
        <w:trPr/>
        <w:tc>
          <w:tcPr>
            <w:tcBorders/>
            <w:tcW w:w="567" w:type="dxa"/>
          </w:tcPr>
          <w:p w14:paraId="7F9849CE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36CFBAB3">
            <w:pPr>
              <w:pStyle w:val="1159"/>
              <w:pBdr/>
              <w:spacing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Wymagania określone w ustawie z dnia 4 kwietnia 2019 roku o dostępności cyfrowej stron internetowych i aplikacji mobilnych podmiotów publicznych.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41B5F024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  <w:t xml:space="preserve">Dokładamy starań aby nasza strona internetowa: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hyperlink r:id="rId14" w:tooltip="https://cisstrzyzow.pl/deklaracja-dostepnosci/" w:history="1">
              <w:r>
                <w:rPr>
                  <w:rStyle w:val="991"/>
                  <w:rFonts w:ascii="Calibri" w:hAnsi="Calibri" w:cs="Calibri"/>
                  <w:b w:val="0"/>
                  <w:bCs w:val="0"/>
                  <w:sz w:val="24"/>
                  <w:szCs w:val="24"/>
                </w:rPr>
                <w:t xml:space="preserve">https://cisstrzyzow.pl/</w:t>
              </w:r>
              <w:r>
                <w:rPr>
                  <w:rStyle w:val="991"/>
                  <w:rFonts w:ascii="Calibri" w:hAnsi="Calibri" w:cs="Calibri"/>
                  <w:b w:val="0"/>
                  <w:bCs w:val="0"/>
                  <w:sz w:val="24"/>
                  <w:szCs w:val="24"/>
                </w:rPr>
              </w:r>
            </w:hyperlink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  <w:p w14:paraId="511E1EE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  <w:lang w:val="pl-PL"/>
                <w14:ligatures w14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  <w:t xml:space="preserve"> była w pełni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  <w:t xml:space="preserve"> zgodna 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  <w:t xml:space="preserve">z załącznikiem do ustawy z dnia 4 kwietnia 2019 r. o dostępności cyfrowej stron internetowych i aplikacji mobilnych podmiotów publicznych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  <w:lang w:val="pl-PL"/>
              </w:rPr>
              <w:t xml:space="preserve">. 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  <w:lang w:val="pl-PL"/>
                <w14:ligatures w14:val="none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  <w:lang w:val="pl-PL"/>
                <w14:ligatures w14:val="none"/>
              </w:rPr>
            </w:r>
          </w:p>
          <w:p w14:paraId="09AE1932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color w:val="auto"/>
                <w:sz w:val="24"/>
              </w:rPr>
            </w:r>
            <w:r>
              <w:rPr>
                <w:rFonts w:ascii="Calibri" w:hAnsi="Calibri" w:eastAsia="Calibri" w:cs="Calibri"/>
                <w:color w:val="auto"/>
                <w:sz w:val="24"/>
              </w:rPr>
              <w:t xml:space="preserve">Jesteśmy gotowi do przekazania żądanej przez osobę z niepełnosprawnością informacji w alternatywny, wskazany przez nią sposób.</w:t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  <w:r>
              <w:rPr>
                <w:rFonts w:ascii="Calibri" w:hAnsi="Calibri" w:eastAsia="Calibri" w:cs="Calibri"/>
                <w:color w:val="auto"/>
                <w:sz w:val="24"/>
                <w:szCs w:val="24"/>
                <w:highlight w:val="none"/>
              </w:rPr>
            </w:r>
          </w:p>
        </w:tc>
      </w:tr>
    </w:tbl>
    <w:tbl>
      <w:tblPr>
        <w:tblStyle w:val="822"/>
        <w:tblInd w:w="358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245"/>
      </w:tblGrid>
      <w:tr>
        <w:trPr/>
        <w:tc>
          <w:tcPr>
            <w:gridSpan w:val="3"/>
            <w:tcBorders/>
            <w:tcW w:w="9072" w:type="dxa"/>
          </w:tcPr>
          <w:p w14:paraId="4B2E65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 xml:space="preserve">Dostępność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 xml:space="preserve">informacyjno -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 xml:space="preserve">komunikacyjna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448CE6E3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0E9426D5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Obsługa z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wykorzystaniem środków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wspierających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komunikowanie się, o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których mowa w art. 3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pkt 5 ustawy z dnia 19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sierpnia 2011 r. o języku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migowym i innych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środkach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komunikowania się (t.j. Dz.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U.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z 2017 r. poz. 1824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),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lub przez wykorzystanie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zdalnego dostępu online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do usługi tłumacza przez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strony internetowe i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aplikacje.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7E6B0666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u w:val="single"/>
              </w:rPr>
              <w:t xml:space="preserve">Zlecenie wykonania usługi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u w:val="single"/>
              </w:rPr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u w:val="single"/>
              </w:rPr>
            </w:r>
          </w:p>
          <w:p w14:paraId="78CE948A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W przypadku konieczności zapewnienia przekazania informacji w PJM, alfabecie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Braille’a, w druku powiększonym lub w postaci tekstu łatwego do czytania,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w miarę posiadanych przez Centrum możliwości, zlecimy przygotowanie informacji w jednej ze wskazanych powyżej, oczekiwanej formy, podmiotowi zewnętrznemu. 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</w:tcPr>
          <w:p w14:paraId="58400F49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162A4582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Instalacja urządzeń lub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innych środków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technicznych do obsługi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osób słabosłyszących, 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szczególności pętli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indukcyjnych, systemów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FM lub urządzeń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opartych o inne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technologie, których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celem jest wspomaganie </w:t>
            </w:r>
            <w: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słyszenia.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1C5301DA">
            <w:pPr>
              <w:pStyle w:val="1159"/>
              <w:pBdr/>
              <w:spacing w:line="276" w:lineRule="auto"/>
              <w:ind w:right="0" w:firstLine="14" w:left="0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u w:val="single"/>
              </w:rPr>
              <w:t xml:space="preserve">Zakup/wynajem pętli indukcyjnej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r>
          </w:p>
          <w:p w14:paraId="51338854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Dostosowując potrzebę zapewnienia urządzeń, których celem jest wspomaganie słyszenia przez osoby słabosłyszące, do możliwości finansowych jednostki, zostanie dokonany zakup lub wynajem pętli indukcyjnej.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7" w:type="dxa"/>
          </w:tcPr>
          <w:p w14:paraId="6E8508B3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52E4EF2E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Zapewnienie na stronie internetowej podmiotu informacji o zakresie jego działalności- w postaci elektronicznego pliku zawierającego tekst odczytywalny maszynowo, nagrania treści w polskim języku migowym oraz informacji w tekście łatwym do czytania.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41596FED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Przygotowanie informacji zgodnie z wymogami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r>
          </w:p>
          <w:p w14:paraId="7F5DD3B6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Na stronie internetowej Centrum zostaną umieszczone informacje o działalności jednostki w postaci wszystkich wymaganych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plików (tekst odczytywalny maszynowo, nagranie treści w polskim języku migowym oraz informacji w tekście łatwym do czytania).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</w:tcPr>
          <w:p w14:paraId="5E5E15D4">
            <w:pPr>
              <w:pStyle w:val="1159"/>
              <w:pBdr/>
              <w:spacing/>
              <w:ind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60" w:type="dxa"/>
          </w:tcPr>
          <w:p w14:paraId="777C8D06">
            <w:pPr>
              <w:pStyle w:val="1159"/>
              <w:pBdr/>
              <w:spacing w:line="276" w:lineRule="auto"/>
              <w:ind w:right="0" w:firstLine="0"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Zapewnienie na wniosek osoby ze szczególnymi potrzebami, komunikacji z podmiotem publicznym w formie określonej w tym wniosku.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5245" w:type="dxa"/>
          </w:tcPr>
          <w:p w14:paraId="0D57B336">
            <w:pPr>
              <w:pStyle w:val="1159"/>
              <w:pBdr/>
              <w:spacing w:line="276" w:lineRule="auto"/>
              <w:ind w:left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W miarę posiadanych przez jednostkę możliwości finansowych, możemy zlecić usługę umożliwiającą komunikację z Centrum, w określonej przez osobę z niepełnosprawnością formie, 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</w:rPr>
              <w:t xml:space="preserve">podmiotowi zewnętrznemu. 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r>
          </w:p>
        </w:tc>
      </w:tr>
    </w:tbl>
    <w:p w14:paraId="2A9EF98D">
      <w:pPr>
        <w:pStyle w:val="1159"/>
        <w:pBdr/>
        <w:spacing/>
        <w:ind w:firstLine="14" w:left="-462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 w14:paraId="2BAC6DB8">
      <w:pPr>
        <w:pStyle w:val="1159"/>
        <w:pBdr/>
        <w:spacing w:line="276" w:lineRule="auto"/>
        <w:ind w:right="0" w:firstLine="425" w:left="283"/>
        <w:jc w:val="both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Wszystkie zaplanowane działania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w zakresie poprawy zapewniania dostępności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osobom ze szczególnymi potrzebami</w:t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  <w:t xml:space="preserve">, będą realizowane sukcesywnie, w trybie ciągłym, zgodnie </w:t>
        <w:br/>
        <w:t xml:space="preserve">z możliwościami organizacyjnymi oraz finansowymi jednostki</w:t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 w14:paraId="5447699A">
      <w:pPr>
        <w:pStyle w:val="1159"/>
        <w:pBdr/>
        <w:spacing w:line="276" w:lineRule="auto"/>
        <w:ind w:right="0" w:firstLine="425" w:left="283"/>
        <w:jc w:val="both"/>
        <w:rPr>
          <w:rFonts w:ascii="Calibri" w:hAnsi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  <w:t xml:space="preserve">Zaplanowane i zrealizowane już zadania, będą widoczne</w:t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  <w:t xml:space="preserve"> w aktualizowanej corocznie deklaracji dostępności.</w:t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cs="Calibri"/>
          <w:b w:val="0"/>
          <w:bCs w:val="0"/>
          <w:sz w:val="24"/>
          <w:szCs w:val="24"/>
          <w:highlight w:val="none"/>
        </w:rPr>
      </w:r>
    </w:p>
    <w:p w14:paraId="01EAB917">
      <w:pPr>
        <w:pStyle w:val="1159"/>
        <w:pBdr/>
        <w:spacing/>
        <w:ind w:firstLine="0" w:left="0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 w14:paraId="4E77D27E">
      <w:pPr>
        <w:pStyle w:val="1159"/>
        <w:pBdr/>
        <w:spacing/>
        <w:ind w:firstLine="0" w:left="0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Dokument sporządził: </w:t>
        <w:tab/>
        <w:t xml:space="preserve">Beata Turek-Mika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 w14:paraId="33B6DB24">
      <w:pPr>
        <w:pStyle w:val="1159"/>
        <w:pBdr/>
        <w:spacing/>
        <w:ind w:firstLine="708" w:left="2124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  <w:t xml:space="preserve">Koordynator ds. dostępności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/>
    </w:p>
    <w:p w14:paraId="7054D0D4">
      <w:pPr>
        <w:pStyle w:val="1159"/>
        <w:pBdr/>
        <w:spacing/>
        <w:ind w:firstLine="14" w:left="-462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>
        <w:numFmt w:val="decimal"/>
      </w:endnotePr>
      <w:type w:val="nextPage"/>
      <w:pgSz w:h="16838" w:orient="portrait" w:w="11906"/>
      <w:pgMar w:top="1383" w:right="1136" w:bottom="1420" w:left="1136" w:header="144" w:footer="34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ucida Sans Unicode">
    <w:panose1 w:val="020B0602030504020204"/>
  </w:font>
  <w:font w:name="Tahoma">
    <w:panose1 w:val="020B0604030504040204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Gabriola">
    <w:panose1 w:val="04040605051002020D02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/>
      <w:jc w:val="center"/>
      <w:rPr>
        <w:rFonts w:ascii="Gabriola" w:hAnsi="Gabriola"/>
        <w:b/>
        <w:sz w:val="22"/>
        <w:szCs w:val="22"/>
        <w:lang w:val="pl-PL"/>
      </w:rPr>
    </w:pPr>
    <w:r>
      <w:rPr>
        <w:sz w:val="12"/>
        <w:szCs w:val="1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629400" cy="19050"/>
              <wp:effectExtent l="0" t="0" r="0" b="0"/>
              <wp:docPr id="3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629400" cy="1905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522.00pt;height:1.50pt;mso-wrap-distance-left:0.00pt;mso-wrap-distance-top:0.00pt;mso-wrap-distance-right:0.00pt;mso-wrap-distance-bottom:0.00pt;visibility:visible;" fillcolor="#A5A5A5" stroked="f"/>
          </w:pict>
        </mc:Fallback>
      </mc:AlternateContent>
    </w:r>
    <w:r>
      <w:rPr>
        <w:rFonts w:ascii="Gabriola" w:hAnsi="Gabriola"/>
        <w:b/>
        <w:sz w:val="22"/>
        <w:szCs w:val="22"/>
        <w:lang w:val="pl-PL"/>
      </w:rPr>
      <w:br w:type="textWrapping" w:clear="all"/>
    </w:r>
    <w:r>
      <w:rPr>
        <w:rFonts w:ascii="Gabriola" w:hAnsi="Gabriola"/>
        <w:b/>
        <w:sz w:val="22"/>
        <w:szCs w:val="22"/>
      </w:rPr>
      <w:t xml:space="preserve">Centrum Integracji Społecznej w Strzyżowie, ul. Witosa 14A, 38-100 Strzyżów</w:t>
      <w:br w:type="textWrapping" w:clear="all"/>
    </w:r>
    <w:r>
      <w:rPr>
        <w:rFonts w:ascii="Gabriola" w:hAnsi="Gabriola"/>
        <w:b/>
        <w:sz w:val="22"/>
        <w:szCs w:val="22"/>
        <w:lang w:val="pl-PL"/>
      </w:rPr>
      <w:t xml:space="preserve">www: cisstrzyzow.pl</w:t>
    </w:r>
    <w:r>
      <w:rPr>
        <w:rFonts w:ascii="Gabriola" w:hAnsi="Gabriola"/>
        <w:b/>
        <w:sz w:val="22"/>
        <w:szCs w:val="22"/>
        <w:lang w:val="pl-PL"/>
      </w:rPr>
    </w:r>
    <w:r>
      <w:rPr>
        <w:rFonts w:ascii="Gabriola" w:hAnsi="Gabriola"/>
        <w:b/>
        <w:sz w:val="22"/>
        <w:szCs w:val="22"/>
        <w:lang w:val="pl-PL"/>
      </w:rPr>
    </w:r>
  </w:p>
  <w:p>
    <w:pPr>
      <w:pStyle w:val="1130"/>
      <w:pBdr/>
      <w:spacing/>
      <w:ind/>
      <w:jc w:val="center"/>
      <w:rPr>
        <w:rFonts w:ascii="Gabriola" w:hAnsi="Gabriola"/>
        <w:b/>
        <w:sz w:val="22"/>
        <w:szCs w:val="22"/>
      </w:rPr>
    </w:pPr>
    <w:r>
      <w:rPr>
        <w:rFonts w:ascii="Gabriola" w:hAnsi="Gabriola"/>
        <w:b/>
        <w:sz w:val="22"/>
        <w:szCs w:val="22"/>
      </w:rPr>
      <w:t xml:space="preserve">e-mai</w:t>
    </w:r>
    <w:r>
      <w:rPr>
        <w:rFonts w:ascii="Gabriola" w:hAnsi="Gabriola"/>
        <w:b/>
        <w:sz w:val="22"/>
        <w:szCs w:val="22"/>
        <w:lang w:val="pl-PL"/>
      </w:rPr>
      <w:t xml:space="preserve">l</w:t>
    </w:r>
    <w:r>
      <w:rPr>
        <w:rFonts w:ascii="Gabriola" w:hAnsi="Gabriola"/>
        <w:b/>
        <w:sz w:val="22"/>
        <w:szCs w:val="22"/>
      </w:rPr>
      <w:t xml:space="preserve">: </w:t>
    </w:r>
    <w:r>
      <w:rPr>
        <w:rFonts w:ascii="Gabriola" w:hAnsi="Gabriola"/>
        <w:b/>
        <w:sz w:val="22"/>
        <w:szCs w:val="22"/>
      </w:rPr>
      <w:fldChar w:fldCharType="begin"/>
    </w:r>
    <w:r>
      <w:rPr>
        <w:rFonts w:ascii="Gabriola" w:hAnsi="Gabriola"/>
        <w:b/>
        <w:sz w:val="22"/>
        <w:szCs w:val="22"/>
      </w:rPr>
      <w:instrText xml:space="preserve"> HYPERLINK "mailto:kierownikcis@strzyzow.pl" </w:instrText>
    </w:r>
    <w:r>
      <w:rPr>
        <w:rFonts w:ascii="Gabriola" w:hAnsi="Gabriola"/>
        <w:b/>
        <w:sz w:val="22"/>
        <w:szCs w:val="22"/>
      </w:rPr>
      <w:fldChar w:fldCharType="separate"/>
    </w:r>
    <w:r>
      <w:rPr>
        <w:rFonts w:ascii="Gabriola" w:hAnsi="Gabriola"/>
        <w:b/>
        <w:sz w:val="22"/>
        <w:szCs w:val="22"/>
      </w:rPr>
      <w:t xml:space="preserve">kierownikcis@strzyzow.pl</w:t>
    </w:r>
    <w:r>
      <w:rPr>
        <w:rFonts w:ascii="Gabriola" w:hAnsi="Gabriola"/>
        <w:b/>
        <w:sz w:val="22"/>
        <w:szCs w:val="22"/>
      </w:rPr>
      <w:fldChar w:fldCharType="end"/>
    </w:r>
    <w:r>
      <w:rPr>
        <w:rFonts w:ascii="Gabriola" w:hAnsi="Gabriola"/>
        <w:b/>
        <w:sz w:val="22"/>
        <w:szCs w:val="22"/>
      </w:rPr>
    </w:r>
    <w:r>
      <w:rPr>
        <w:rFonts w:ascii="Gabriola" w:hAnsi="Gabriola"/>
        <w:b/>
        <w:sz w:val="22"/>
        <w:szCs w:val="22"/>
      </w:rPr>
    </w:r>
  </w:p>
  <w:p>
    <w:pPr>
      <w:pStyle w:val="1130"/>
      <w:pBdr/>
      <w:spacing/>
      <w:ind/>
      <w:jc w:val="center"/>
      <w:rPr>
        <w:rFonts w:ascii="Gabriola" w:hAnsi="Gabriola"/>
        <w:b/>
        <w:sz w:val="22"/>
        <w:szCs w:val="22"/>
        <w:lang w:val="pl-PL"/>
      </w:rPr>
    </w:pPr>
    <w:r>
      <w:rPr>
        <w:rFonts w:ascii="Gabriola" w:hAnsi="Gabriola"/>
        <w:b/>
        <w:sz w:val="22"/>
        <w:szCs w:val="22"/>
      </w:rPr>
      <w:t xml:space="preserve"> tel. : (+48) 535 976</w:t>
    </w:r>
    <w:r>
      <w:rPr>
        <w:rFonts w:ascii="Gabriola" w:hAnsi="Gabriola"/>
        <w:b/>
        <w:sz w:val="22"/>
        <w:szCs w:val="22"/>
      </w:rPr>
      <w:t xml:space="preserve"> 983</w:t>
    </w:r>
    <w:r>
      <w:rPr>
        <w:rFonts w:ascii="Gabriola" w:hAnsi="Gabriola"/>
        <w:b/>
        <w:sz w:val="22"/>
        <w:szCs w:val="22"/>
        <w:lang w:val="pl-PL"/>
      </w:rPr>
    </w:r>
    <w:r>
      <w:rPr>
        <w:rFonts w:ascii="Gabriola" w:hAnsi="Gabriola"/>
        <w:b/>
        <w:sz w:val="22"/>
        <w:szCs w:val="22"/>
        <w:lang w:val="pl-PL"/>
      </w:rPr>
    </w:r>
  </w:p>
  <w:p>
    <w:pPr>
      <w:pStyle w:val="11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tabs>
        <w:tab w:val="left" w:leader="none" w:pos="315"/>
        <w:tab w:val="center" w:leader="none" w:pos="4860"/>
      </w:tabs>
      <w:spacing/>
      <w:ind w:left="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628655" cy="110431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CIS poziom CMYK maly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628655" cy="110431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4.46pt;height:86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cs="Arial"/>
        <w:sz w:val="12"/>
        <w:szCs w:val="12"/>
      </w:rPr>
    </w:r>
    <w:r>
      <w:rPr>
        <w:rFonts w:ascii="Arial" w:hAnsi="Arial" w:cs="Arial"/>
        <w:sz w:val="12"/>
        <w:szCs w:val="12"/>
      </w:rPr>
    </w:r>
  </w:p>
  <w:p>
    <w:pPr>
      <w:pStyle w:val="1132"/>
      <w:pBdr/>
      <w:tabs>
        <w:tab w:val="left" w:leader="none" w:pos="315"/>
        <w:tab w:val="center" w:leader="none" w:pos="4860"/>
      </w:tabs>
      <w:spacing/>
      <w:ind w:left="360"/>
      <w:jc w:val="right"/>
      <w:rPr>
        <w:rFonts w:ascii="Arial" w:hAnsi="Arial" w:cs="Arial"/>
        <w:sz w:val="12"/>
        <w:szCs w:val="12"/>
      </w:rPr>
    </w:pPr>
    <w:r>
      <w:rPr>
        <w:sz w:val="12"/>
        <w:szCs w:val="1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629400" cy="19050"/>
              <wp:effectExtent l="0" t="0" r="0" b="0"/>
              <wp:docPr id="2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629400" cy="1905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522.00pt;height:1.50pt;mso-wrap-distance-left:0.00pt;mso-wrap-distance-top:0.00pt;mso-wrap-distance-right:0.00pt;mso-wrap-distance-bottom:0.00pt;visibility:visible;" fillcolor="#A5A5A5" stroked="f"/>
          </w:pict>
        </mc:Fallback>
      </mc:AlternateContent>
    </w:r>
    <w:r>
      <w:rPr>
        <w:rFonts w:ascii="Arial" w:hAnsi="Arial" w:cs="Arial"/>
        <w:sz w:val="12"/>
        <w:szCs w:val="12"/>
      </w:rPr>
    </w:r>
    <w:r>
      <w:rPr>
        <w:rFonts w:ascii="Arial" w:hAnsi="Arial" w:cs="Arial"/>
        <w:sz w:val="12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pStyle w:val="1006"/>
      <w:rPr>
        <w:rFonts w:cs="Times New Roman"/>
      </w:rPr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pStyle w:val="1008"/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pStyle w:val="1135"/>
      <w:rPr>
        <w:rFonts w:ascii="Calibri" w:hAnsi="Calibri" w:eastAsia="Times New Roman" w:cs="Arial"/>
        <w:b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64"/>
        </w:tabs>
        <w:spacing/>
        <w:ind w:hanging="360" w:left="1364"/>
      </w:pPr>
      <w:rPr>
        <w:rFonts w:ascii="Courier New" w:hAnsi="Courier New" w:cs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084"/>
        </w:tabs>
        <w:spacing/>
        <w:ind w:hanging="360" w:left="2084"/>
      </w:pPr>
      <w:rPr>
        <w:rFonts w:ascii="Wingdings" w:hAnsi="Wingdings" w:cs="Symbol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04"/>
        </w:tabs>
        <w:spacing/>
        <w:ind w:hanging="360" w:left="2804"/>
      </w:pPr>
      <w:rPr>
        <w:rFonts w:ascii="Wingdings" w:hAnsi="Wingdings" w:cs="Symbol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524"/>
        </w:tabs>
        <w:spacing/>
        <w:ind w:hanging="360" w:left="3524"/>
      </w:pPr>
      <w:rPr>
        <w:rFonts w:ascii="Wingdings" w:hAnsi="Wingdings" w:cs="Symbol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44"/>
        </w:tabs>
        <w:spacing/>
        <w:ind w:hanging="360" w:left="4244"/>
      </w:pPr>
      <w:rPr>
        <w:rFonts w:ascii="Wingdings" w:hAnsi="Wingdings" w:cs="Symbol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964"/>
        </w:tabs>
        <w:spacing/>
        <w:ind w:hanging="360" w:left="4964"/>
      </w:pPr>
      <w:rPr>
        <w:rFonts w:ascii="Wingdings" w:hAnsi="Wingdings" w:cs="Symbol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684"/>
        </w:tabs>
        <w:spacing/>
        <w:ind w:hanging="360" w:left="5684"/>
      </w:pPr>
      <w:rPr>
        <w:rFonts w:ascii="Wingdings" w:hAnsi="Wingdings" w:cs="Symbol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04"/>
        </w:tabs>
        <w:spacing/>
        <w:ind w:hanging="360" w:left="6404"/>
      </w:pPr>
      <w:rPr>
        <w:rFonts w:ascii="Wingdings" w:hAnsi="Wingdings" w:cs="Symbol"/>
      </w:rPr>
      <w:start w:val="1"/>
      <w:suff w:val="tab"/>
    </w:lvl>
  </w:abstractNum>
  <w:abstractNum w:abstractNumId="2">
    <w:nsid w:val="00000003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upp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nsid w:val="00000004"/>
    <w:lvl w:ilvl="0">
      <w:isLgl w:val="false"/>
      <w:lvlJc w:val="left"/>
      <w:lvlText w:val="%1."/>
      <w:numFmt w:val="decimal"/>
      <w:pPr>
        <w:pBdr/>
        <w:tabs>
          <w:tab w:val="num" w:leader="none" w:pos="1457"/>
        </w:tabs>
        <w:spacing/>
        <w:ind w:hanging="360" w:left="1457"/>
      </w:pPr>
      <w:rPr>
        <w:rFonts w:ascii="Calibri" w:hAnsi="Calibri" w:eastAsia="Times New Roman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00000006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0000000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Open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 w:cs="OpenSymbol"/>
      </w:rPr>
      <w:start w:val="1"/>
      <w:suff w:val="tab"/>
    </w:lvl>
  </w:abstractNum>
  <w:abstractNum w:abstractNumId="7">
    <w:nsid w:val="02F65061"/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cs="Arial"/>
        <w:b/>
        <w:i w:val="0"/>
        <w:color w:val="000000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64"/>
        </w:tabs>
        <w:spacing/>
        <w:ind w:hanging="360" w:left="1364"/>
      </w:pPr>
      <w:rPr>
        <w:rFonts w:ascii="Courier New" w:hAnsi="Courier New" w:cs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084"/>
        </w:tabs>
        <w:spacing/>
        <w:ind w:hanging="360" w:left="2084"/>
      </w:pPr>
      <w:rPr>
        <w:rFonts w:ascii="Wingdings" w:hAnsi="Wingdings" w:cs="Symbol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04"/>
        </w:tabs>
        <w:spacing/>
        <w:ind w:hanging="360" w:left="2804"/>
      </w:pPr>
      <w:rPr>
        <w:rFonts w:ascii="Wingdings" w:hAnsi="Wingdings" w:cs="Symbol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524"/>
        </w:tabs>
        <w:spacing/>
        <w:ind w:hanging="360" w:left="3524"/>
      </w:pPr>
      <w:rPr>
        <w:rFonts w:ascii="Wingdings" w:hAnsi="Wingdings" w:cs="Symbol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44"/>
        </w:tabs>
        <w:spacing/>
        <w:ind w:hanging="360" w:left="4244"/>
      </w:pPr>
      <w:rPr>
        <w:rFonts w:ascii="Wingdings" w:hAnsi="Wingdings" w:cs="Symbol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964"/>
        </w:tabs>
        <w:spacing/>
        <w:ind w:hanging="360" w:left="4964"/>
      </w:pPr>
      <w:rPr>
        <w:rFonts w:ascii="Wingdings" w:hAnsi="Wingdings" w:cs="Symbol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684"/>
        </w:tabs>
        <w:spacing/>
        <w:ind w:hanging="360" w:left="5684"/>
      </w:pPr>
      <w:rPr>
        <w:rFonts w:ascii="Wingdings" w:hAnsi="Wingdings" w:cs="Symbol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04"/>
        </w:tabs>
        <w:spacing/>
        <w:ind w:hanging="360" w:left="6404"/>
      </w:pPr>
      <w:rPr>
        <w:rFonts w:ascii="Wingdings" w:hAnsi="Wingdings" w:cs="Symbol"/>
      </w:rPr>
      <w:start w:val="1"/>
      <w:suff w:val="tab"/>
    </w:lvl>
  </w:abstractNum>
  <w:abstractNum w:abstractNumId="8">
    <w:nsid w:val="07EC1A15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9">
    <w:nsid w:val="34DA4AAC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0">
    <w:nsid w:val="53B933ED"/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ascii="Wingdings" w:hAnsi="Wingdings"/>
      </w:rPr>
      <w:start w:val="1"/>
      <w:suff w:val="tab"/>
    </w:lvl>
  </w:abstractNum>
  <w:abstractNum w:abstractNumId="11">
    <w:nsid w:val="5B5B0507"/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ascii="Calibri" w:hAnsi="Calibri" w:eastAsia="Times New Roman" w:cs="Arial"/>
        <w:b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64"/>
        </w:tabs>
        <w:spacing/>
        <w:ind w:hanging="360" w:left="1364"/>
      </w:pPr>
      <w:rPr>
        <w:rFonts w:ascii="Courier New" w:hAnsi="Courier New" w:cs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084"/>
        </w:tabs>
        <w:spacing/>
        <w:ind w:hanging="360" w:left="2084"/>
      </w:pPr>
      <w:rPr>
        <w:rFonts w:ascii="Wingdings" w:hAnsi="Wingdings" w:cs="Symbol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04"/>
        </w:tabs>
        <w:spacing/>
        <w:ind w:hanging="360" w:left="2804"/>
      </w:pPr>
      <w:rPr>
        <w:rFonts w:ascii="Wingdings" w:hAnsi="Wingdings" w:cs="Symbol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524"/>
        </w:tabs>
        <w:spacing/>
        <w:ind w:hanging="360" w:left="3524"/>
      </w:pPr>
      <w:rPr>
        <w:rFonts w:ascii="Wingdings" w:hAnsi="Wingdings" w:cs="Symbol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44"/>
        </w:tabs>
        <w:spacing/>
        <w:ind w:hanging="360" w:left="4244"/>
      </w:pPr>
      <w:rPr>
        <w:rFonts w:ascii="Wingdings" w:hAnsi="Wingdings" w:cs="Symbol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964"/>
        </w:tabs>
        <w:spacing/>
        <w:ind w:hanging="360" w:left="4964"/>
      </w:pPr>
      <w:rPr>
        <w:rFonts w:ascii="Wingdings" w:hAnsi="Wingdings" w:cs="Symbol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684"/>
        </w:tabs>
        <w:spacing/>
        <w:ind w:hanging="360" w:left="5684"/>
      </w:pPr>
      <w:rPr>
        <w:rFonts w:ascii="Wingdings" w:hAnsi="Wingdings" w:cs="Symbol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04"/>
        </w:tabs>
        <w:spacing/>
        <w:ind w:hanging="360" w:left="6404"/>
      </w:pPr>
      <w:rPr>
        <w:rFonts w:ascii="Wingdings" w:hAnsi="Wingdings" w:cs="Symbol"/>
      </w:rPr>
      <w:start w:val="1"/>
      <w:suff w:val="tab"/>
    </w:lvl>
  </w:abstractNum>
  <w:abstractNum w:abstractNumId="12">
    <w:nsid w:val="66922F5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65E485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  <w:num w:numId="14">
    <w:abstractNumId w:val="12"/>
  </w:num>
  <w:num w:numId="15">
    <w:abstractNumId w:val="8"/>
    <w:lvlOverride w:ilvl="0">
      <w:lvl w:ilvl="0">
        <w:isLgl w:val="false"/>
        <w:lvlJc w:val="left"/>
        <w:lvlText w:val="%1)"/>
        <w:numFmt w:val="decimal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2)"/>
        <w:numFmt w:val="lowerLetter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3)"/>
        <w:numFmt w:val="lowerRoman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(%4)"/>
        <w:numFmt w:val="decimal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(%5)"/>
        <w:numFmt w:val="lowerLetter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(%6)"/>
        <w:numFmt w:val="lowerRoman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%7."/>
        <w:numFmt w:val="decimal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%8."/>
        <w:numFmt w:val="lowerLetter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%9."/>
        <w:numFmt w:val="lowerRoman"/>
        <w:pPr>
          <w:pBdr/>
          <w:spacing/>
          <w:ind/>
        </w:pPr>
        <w:rPr/>
        <w:start w:val="1"/>
        <w:suff w:val="tab"/>
      </w:lvl>
    </w:lvlOverride>
  </w:num>
  <w:num w:numId="16">
    <w:abstractNumId w:val="8"/>
    <w:lvlOverride w:ilvl="0">
      <w:lvl w:ilvl="0">
        <w:isLgl w:val="false"/>
        <w:lvlJc w:val="left"/>
        <w:lvlText w:val="%1."/>
        <w:numFmt w:val="upperRoman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2."/>
        <w:numFmt w:val="upperLetter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3."/>
        <w:numFmt w:val="decimal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%4)"/>
        <w:numFmt w:val="lowerLetter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(%5)"/>
        <w:numFmt w:val="decimal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(%6)"/>
        <w:numFmt w:val="lowerLetter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(%7)"/>
        <w:numFmt w:val="lowerRoman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(%8)"/>
        <w:numFmt w:val="lowerLetter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(%9)"/>
        <w:numFmt w:val="lowerRoman"/>
        <w:pPr>
          <w:pBdr/>
          <w:spacing/>
          <w:ind/>
        </w:pPr>
        <w:rPr/>
        <w:start w:val="1"/>
        <w:suff w:val="tab"/>
      </w:lvl>
    </w:lvlOverride>
  </w:num>
  <w:num w:numId="17">
    <w:abstractNumId w:val="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/>
        </w:pPr>
        <w:rPr/>
        <w:start w:val="1"/>
        <w:suff w:val="tab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/>
        </w:pPr>
        <w:rPr/>
        <w:start w:val="1"/>
        <w:suff w:val="tab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/>
        </w:pPr>
        <w:rPr/>
        <w:start w:val="1"/>
        <w:suff w:val="tab"/>
      </w:lvl>
    </w:lvlOverride>
    <w:lvlOverride w:ilvl="4">
      <w:lvl w:ilvl="4">
        <w:isLgl w:val="false"/>
        <w:lvlJc w:val="left"/>
        <w:lvlText w:val="%1.%2.%3.%4.%5."/>
        <w:numFmt w:val="decimal"/>
        <w:pPr>
          <w:pBdr/>
          <w:spacing/>
          <w:ind/>
        </w:pPr>
        <w:rPr/>
        <w:start w:val="1"/>
        <w:suff w:val="tab"/>
      </w:lvl>
    </w:lvlOverride>
    <w:lvlOverride w:ilvl="5">
      <w:lvl w:ilvl="5">
        <w:isLgl w:val="false"/>
        <w:lvlJc w:val="left"/>
        <w:lvlText w:val="%1.%2.%3.%4.%5.%6."/>
        <w:numFmt w:val="decimal"/>
        <w:pPr>
          <w:pBdr/>
          <w:spacing/>
          <w:ind/>
        </w:pPr>
        <w:rPr/>
        <w:start w:val="1"/>
        <w:suff w:val="tab"/>
      </w:lvl>
    </w:lvlOverride>
    <w:lvlOverride w:ilvl="6">
      <w:lvl w:ilvl="6">
        <w:isLgl w:val="false"/>
        <w:lvlJc w:val="left"/>
        <w:lvlText w:val="%1.%2.%3.%4.%5.%6.%7."/>
        <w:numFmt w:val="decimal"/>
        <w:pPr>
          <w:pBdr/>
          <w:spacing/>
          <w:ind/>
        </w:pPr>
        <w:rPr/>
        <w:start w:val="1"/>
        <w:suff w:val="tab"/>
      </w:lvl>
    </w:lvlOverride>
    <w:lvlOverride w:ilvl="7">
      <w:lvl w:ilvl="7">
        <w:isLgl w:val="false"/>
        <w:lvlJc w:val="left"/>
        <w:lvlText w:val="%1.%2.%3.%4.%5.%6.%7.%8."/>
        <w:numFmt w:val="decimal"/>
        <w:pPr>
          <w:pBdr/>
          <w:spacing/>
          <w:ind/>
        </w:pPr>
        <w:rPr/>
        <w:start w:val="1"/>
        <w:suff w:val="tab"/>
      </w:lvl>
    </w:lvlOverride>
    <w:lvlOverride w:ilvl="8">
      <w:lvl w:ilvl="8">
        <w:isLgl w:val="false"/>
        <w:lvlJc w:val="left"/>
        <w:lvlText w:val="%1.%2.%3.%4.%5.%6.%7.%8.%9."/>
        <w:numFmt w:val="decimal"/>
        <w:pPr>
          <w:pBdr/>
          <w:spacing/>
          <w:ind/>
        </w:pPr>
        <w:rPr/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Table Grid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Table Grid Light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Heading 1"/>
    <w:basedOn w:val="1005"/>
    <w:next w:val="1005"/>
    <w:link w:val="10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49">
    <w:name w:val="Heading 2"/>
    <w:basedOn w:val="1005"/>
    <w:next w:val="1005"/>
    <w:link w:val="95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50">
    <w:name w:val="Heading 3"/>
    <w:basedOn w:val="1005"/>
    <w:next w:val="1005"/>
    <w:link w:val="96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51">
    <w:name w:val="Heading 4"/>
    <w:basedOn w:val="1005"/>
    <w:next w:val="1005"/>
    <w:link w:val="9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2">
    <w:name w:val="Heading 5"/>
    <w:basedOn w:val="1005"/>
    <w:next w:val="1005"/>
    <w:link w:val="9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3">
    <w:name w:val="Heading 6"/>
    <w:basedOn w:val="1005"/>
    <w:next w:val="1005"/>
    <w:link w:val="9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4">
    <w:name w:val="Heading 7"/>
    <w:basedOn w:val="1005"/>
    <w:next w:val="1005"/>
    <w:link w:val="9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5">
    <w:name w:val="Heading 8"/>
    <w:basedOn w:val="1005"/>
    <w:next w:val="1005"/>
    <w:link w:val="9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6">
    <w:name w:val="Heading 9"/>
    <w:basedOn w:val="1005"/>
    <w:next w:val="1005"/>
    <w:link w:val="9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7" w:default="1">
    <w:name w:val="Default Paragraph Font"/>
    <w:uiPriority w:val="1"/>
    <w:semiHidden/>
    <w:unhideWhenUsed/>
    <w:pPr>
      <w:pBdr/>
      <w:spacing/>
      <w:ind/>
    </w:pPr>
  </w:style>
  <w:style w:type="numbering" w:styleId="958" w:default="1">
    <w:name w:val="No List"/>
    <w:uiPriority w:val="99"/>
    <w:semiHidden/>
    <w:unhideWhenUsed/>
    <w:pPr>
      <w:pBdr/>
      <w:spacing/>
      <w:ind/>
    </w:pPr>
  </w:style>
  <w:style w:type="character" w:styleId="959">
    <w:name w:val="Heading 2 Char"/>
    <w:basedOn w:val="957"/>
    <w:link w:val="9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0">
    <w:name w:val="Heading 3 Char"/>
    <w:basedOn w:val="957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1">
    <w:name w:val="Heading 4 Char"/>
    <w:basedOn w:val="957"/>
    <w:link w:val="9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2">
    <w:name w:val="Heading 5 Char"/>
    <w:basedOn w:val="957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3">
    <w:name w:val="Heading 6 Char"/>
    <w:basedOn w:val="957"/>
    <w:link w:val="9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4">
    <w:name w:val="Heading 7 Char"/>
    <w:basedOn w:val="957"/>
    <w:link w:val="9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5">
    <w:name w:val="Heading 8 Char"/>
    <w:basedOn w:val="957"/>
    <w:link w:val="9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6">
    <w:name w:val="Heading 9 Char"/>
    <w:basedOn w:val="957"/>
    <w:link w:val="9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7">
    <w:name w:val="Title"/>
    <w:basedOn w:val="1005"/>
    <w:next w:val="1005"/>
    <w:link w:val="11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68">
    <w:name w:val="Subtitle"/>
    <w:basedOn w:val="1005"/>
    <w:next w:val="1005"/>
    <w:link w:val="109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9">
    <w:name w:val="Quote"/>
    <w:basedOn w:val="1005"/>
    <w:next w:val="1005"/>
    <w:link w:val="9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0">
    <w:name w:val="Quote Char"/>
    <w:basedOn w:val="957"/>
    <w:link w:val="9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1">
    <w:name w:val="Intense Emphasis"/>
    <w:basedOn w:val="9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2">
    <w:name w:val="Intense Quote"/>
    <w:basedOn w:val="1005"/>
    <w:next w:val="1005"/>
    <w:link w:val="9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3">
    <w:name w:val="Intense Quote Char"/>
    <w:basedOn w:val="957"/>
    <w:link w:val="9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4">
    <w:name w:val="Intense Reference"/>
    <w:basedOn w:val="9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5">
    <w:name w:val="No Spacing"/>
    <w:basedOn w:val="1005"/>
    <w:uiPriority w:val="1"/>
    <w:qFormat/>
    <w:pPr>
      <w:pBdr/>
      <w:spacing w:after="0" w:line="240" w:lineRule="auto"/>
      <w:ind/>
    </w:pPr>
  </w:style>
  <w:style w:type="character" w:styleId="976">
    <w:name w:val="Subtle Emphasis"/>
    <w:basedOn w:val="9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Emphasis"/>
    <w:basedOn w:val="957"/>
    <w:uiPriority w:val="20"/>
    <w:qFormat/>
    <w:pPr>
      <w:pBdr/>
      <w:spacing/>
      <w:ind/>
    </w:pPr>
    <w:rPr>
      <w:i/>
      <w:iCs/>
    </w:rPr>
  </w:style>
  <w:style w:type="character" w:styleId="978">
    <w:name w:val="Strong"/>
    <w:basedOn w:val="957"/>
    <w:uiPriority w:val="22"/>
    <w:qFormat/>
    <w:pPr>
      <w:pBdr/>
      <w:spacing/>
      <w:ind/>
    </w:pPr>
    <w:rPr>
      <w:b/>
      <w:bCs/>
    </w:rPr>
  </w:style>
  <w:style w:type="character" w:styleId="979">
    <w:name w:val="Subtle Reference"/>
    <w:basedOn w:val="9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0">
    <w:name w:val="Book Title"/>
    <w:basedOn w:val="95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81">
    <w:name w:val="Header"/>
    <w:basedOn w:val="1005"/>
    <w:link w:val="9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2">
    <w:name w:val="Header Char"/>
    <w:basedOn w:val="957"/>
    <w:link w:val="981"/>
    <w:uiPriority w:val="99"/>
    <w:pPr>
      <w:pBdr/>
      <w:spacing/>
      <w:ind/>
    </w:pPr>
  </w:style>
  <w:style w:type="paragraph" w:styleId="983">
    <w:name w:val="Footer"/>
    <w:basedOn w:val="1005"/>
    <w:link w:val="9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4">
    <w:name w:val="Footer Char"/>
    <w:basedOn w:val="957"/>
    <w:link w:val="983"/>
    <w:uiPriority w:val="99"/>
    <w:pPr>
      <w:pBdr/>
      <w:spacing/>
      <w:ind/>
    </w:pPr>
  </w:style>
  <w:style w:type="paragraph" w:styleId="985">
    <w:name w:val="Caption"/>
    <w:basedOn w:val="1005"/>
    <w:next w:val="10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6">
    <w:name w:val="footnote text"/>
    <w:basedOn w:val="1005"/>
    <w:link w:val="11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7">
    <w:name w:val="footnote reference"/>
    <w:basedOn w:val="957"/>
    <w:uiPriority w:val="99"/>
    <w:semiHidden/>
    <w:unhideWhenUsed/>
    <w:pPr>
      <w:pBdr/>
      <w:spacing/>
      <w:ind/>
    </w:pPr>
    <w:rPr>
      <w:vertAlign w:val="superscript"/>
    </w:rPr>
  </w:style>
  <w:style w:type="paragraph" w:styleId="988">
    <w:name w:val="endnote text"/>
    <w:basedOn w:val="1005"/>
    <w:link w:val="9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9">
    <w:name w:val="Endnote Text Char"/>
    <w:basedOn w:val="957"/>
    <w:link w:val="988"/>
    <w:uiPriority w:val="99"/>
    <w:semiHidden/>
    <w:pPr>
      <w:pBdr/>
      <w:spacing/>
      <w:ind/>
    </w:pPr>
    <w:rPr>
      <w:sz w:val="20"/>
      <w:szCs w:val="20"/>
    </w:rPr>
  </w:style>
  <w:style w:type="character" w:styleId="990">
    <w:name w:val="endnote reference"/>
    <w:basedOn w:val="957"/>
    <w:uiPriority w:val="99"/>
    <w:semiHidden/>
    <w:unhideWhenUsed/>
    <w:pPr>
      <w:pBdr/>
      <w:spacing/>
      <w:ind/>
    </w:pPr>
    <w:rPr>
      <w:vertAlign w:val="superscript"/>
    </w:rPr>
  </w:style>
  <w:style w:type="character" w:styleId="991">
    <w:name w:val="Hyperlink"/>
    <w:basedOn w:val="95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2">
    <w:name w:val="FollowedHyperlink"/>
    <w:basedOn w:val="9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3">
    <w:name w:val="toc 1"/>
    <w:basedOn w:val="1005"/>
    <w:next w:val="1005"/>
    <w:uiPriority w:val="39"/>
    <w:unhideWhenUsed/>
    <w:pPr>
      <w:pBdr/>
      <w:spacing w:after="100"/>
      <w:ind/>
    </w:pPr>
  </w:style>
  <w:style w:type="paragraph" w:styleId="994">
    <w:name w:val="toc 2"/>
    <w:basedOn w:val="1005"/>
    <w:next w:val="1005"/>
    <w:uiPriority w:val="39"/>
    <w:unhideWhenUsed/>
    <w:pPr>
      <w:pBdr/>
      <w:spacing w:after="100"/>
      <w:ind w:left="220"/>
    </w:pPr>
  </w:style>
  <w:style w:type="paragraph" w:styleId="995">
    <w:name w:val="toc 3"/>
    <w:basedOn w:val="1005"/>
    <w:next w:val="1005"/>
    <w:uiPriority w:val="39"/>
    <w:unhideWhenUsed/>
    <w:pPr>
      <w:pBdr/>
      <w:spacing w:after="100"/>
      <w:ind w:left="440"/>
    </w:pPr>
  </w:style>
  <w:style w:type="paragraph" w:styleId="996">
    <w:name w:val="toc 4"/>
    <w:basedOn w:val="1005"/>
    <w:next w:val="1005"/>
    <w:uiPriority w:val="39"/>
    <w:unhideWhenUsed/>
    <w:pPr>
      <w:pBdr/>
      <w:spacing w:after="100"/>
      <w:ind w:left="660"/>
    </w:pPr>
  </w:style>
  <w:style w:type="paragraph" w:styleId="997">
    <w:name w:val="toc 5"/>
    <w:basedOn w:val="1005"/>
    <w:next w:val="1005"/>
    <w:uiPriority w:val="39"/>
    <w:unhideWhenUsed/>
    <w:pPr>
      <w:pBdr/>
      <w:spacing w:after="100"/>
      <w:ind w:left="880"/>
    </w:pPr>
  </w:style>
  <w:style w:type="paragraph" w:styleId="998">
    <w:name w:val="toc 6"/>
    <w:basedOn w:val="1005"/>
    <w:next w:val="1005"/>
    <w:uiPriority w:val="39"/>
    <w:unhideWhenUsed/>
    <w:pPr>
      <w:pBdr/>
      <w:spacing w:after="100"/>
      <w:ind w:left="1100"/>
    </w:pPr>
  </w:style>
  <w:style w:type="paragraph" w:styleId="999">
    <w:name w:val="toc 7"/>
    <w:basedOn w:val="1005"/>
    <w:next w:val="1005"/>
    <w:uiPriority w:val="39"/>
    <w:unhideWhenUsed/>
    <w:pPr>
      <w:pBdr/>
      <w:spacing w:after="100"/>
      <w:ind w:left="1320"/>
    </w:pPr>
  </w:style>
  <w:style w:type="paragraph" w:styleId="1000">
    <w:name w:val="toc 8"/>
    <w:basedOn w:val="1005"/>
    <w:next w:val="1005"/>
    <w:uiPriority w:val="39"/>
    <w:unhideWhenUsed/>
    <w:pPr>
      <w:pBdr/>
      <w:spacing w:after="100"/>
      <w:ind w:left="1540"/>
    </w:pPr>
  </w:style>
  <w:style w:type="paragraph" w:styleId="1001">
    <w:name w:val="toc 9"/>
    <w:basedOn w:val="1005"/>
    <w:next w:val="1005"/>
    <w:uiPriority w:val="39"/>
    <w:unhideWhenUsed/>
    <w:pPr>
      <w:pBdr/>
      <w:spacing w:after="100"/>
      <w:ind w:left="1760"/>
    </w:pPr>
  </w:style>
  <w:style w:type="character" w:styleId="1002">
    <w:name w:val="Placeholder Text"/>
    <w:basedOn w:val="957"/>
    <w:uiPriority w:val="99"/>
    <w:semiHidden/>
    <w:pPr>
      <w:pBdr/>
      <w:spacing/>
      <w:ind/>
    </w:pPr>
    <w:rPr>
      <w:color w:val="666666"/>
    </w:rPr>
  </w:style>
  <w:style w:type="paragraph" w:styleId="1003">
    <w:name w:val="TOC Heading"/>
    <w:uiPriority w:val="39"/>
    <w:unhideWhenUsed/>
    <w:pPr>
      <w:pBdr/>
      <w:spacing/>
      <w:ind/>
    </w:pPr>
  </w:style>
  <w:style w:type="paragraph" w:styleId="1004">
    <w:name w:val="table of figures"/>
    <w:basedOn w:val="1005"/>
    <w:next w:val="1005"/>
    <w:uiPriority w:val="99"/>
    <w:unhideWhenUsed/>
    <w:pPr>
      <w:pBdr/>
      <w:spacing w:after="0" w:afterAutospacing="0"/>
      <w:ind/>
    </w:pPr>
  </w:style>
  <w:style w:type="paragraph" w:styleId="1005" w:default="1">
    <w:name w:val="Normal"/>
    <w:next w:val="1005"/>
    <w:link w:val="1005"/>
    <w:qFormat/>
    <w:pPr>
      <w:pBdr/>
      <w:spacing w:after="200" w:line="276" w:lineRule="auto"/>
      <w:ind/>
      <w:jc w:val="both"/>
    </w:pPr>
    <w:rPr>
      <w:rFonts w:ascii="Calibri" w:hAnsi="Calibri"/>
      <w:sz w:val="22"/>
      <w:szCs w:val="22"/>
      <w:lang w:val="pl-PL" w:eastAsia="ar-SA" w:bidi="ar-SA"/>
    </w:rPr>
  </w:style>
  <w:style w:type="paragraph" w:styleId="1006">
    <w:name w:val="Nagłówek 1"/>
    <w:basedOn w:val="1005"/>
    <w:next w:val="1005"/>
    <w:link w:val="1005"/>
    <w:qFormat/>
    <w:pPr>
      <w:keepNext w:val="true"/>
      <w:numPr>
        <w:ilvl w:val="0"/>
        <w:numId w:val="1"/>
      </w:numPr>
      <w:pBdr/>
      <w:tabs>
        <w:tab w:val="left" w:leader="none" w:pos="0"/>
      </w:tabs>
      <w:spacing w:after="0" w:before="0" w:line="240" w:lineRule="auto"/>
      <w:ind/>
      <w:outlineLvl w:val="0"/>
    </w:pPr>
    <w:rPr>
      <w:b/>
      <w:sz w:val="24"/>
      <w:szCs w:val="20"/>
      <w:lang w:val="en-US"/>
    </w:rPr>
  </w:style>
  <w:style w:type="paragraph" w:styleId="1007">
    <w:name w:val="Nagłówek 3"/>
    <w:basedOn w:val="1005"/>
    <w:next w:val="1005"/>
    <w:link w:val="1157"/>
    <w:uiPriority w:val="9"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08">
    <w:name w:val="Nagłówek 4"/>
    <w:basedOn w:val="1005"/>
    <w:next w:val="1005"/>
    <w:link w:val="1005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09">
    <w:name w:val="Domyślna czcionka akapitu"/>
    <w:next w:val="1009"/>
    <w:link w:val="1005"/>
    <w:uiPriority w:val="1"/>
    <w:semiHidden/>
    <w:unhideWhenUsed/>
    <w:pPr>
      <w:pBdr/>
      <w:spacing/>
      <w:ind/>
    </w:pPr>
  </w:style>
  <w:style w:type="table" w:styleId="1010">
    <w:name w:val="Standardowy"/>
    <w:next w:val="1010"/>
    <w:link w:val="100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1">
    <w:name w:val="Bez listy"/>
    <w:next w:val="1011"/>
    <w:link w:val="1005"/>
    <w:uiPriority w:val="99"/>
    <w:semiHidden/>
    <w:unhideWhenUsed/>
    <w:pPr>
      <w:pBdr/>
      <w:spacing/>
      <w:ind/>
    </w:pPr>
  </w:style>
  <w:style w:type="character" w:styleId="1012">
    <w:name w:val="WW8Num1z0"/>
    <w:next w:val="1012"/>
    <w:link w:val="1005"/>
    <w:pPr>
      <w:pBdr/>
      <w:spacing/>
      <w:ind/>
    </w:pPr>
    <w:rPr>
      <w:rFonts w:cs="Times New Roman"/>
    </w:rPr>
  </w:style>
  <w:style w:type="character" w:styleId="1013">
    <w:name w:val="WW8Num1z1"/>
    <w:next w:val="1013"/>
    <w:link w:val="1005"/>
    <w:pPr>
      <w:pBdr/>
      <w:spacing/>
      <w:ind/>
    </w:pPr>
  </w:style>
  <w:style w:type="character" w:styleId="1014">
    <w:name w:val="WW8Num1z2"/>
    <w:next w:val="1014"/>
    <w:link w:val="1005"/>
    <w:pPr>
      <w:pBdr/>
      <w:spacing/>
      <w:ind/>
    </w:pPr>
  </w:style>
  <w:style w:type="character" w:styleId="1015">
    <w:name w:val="WW8Num1z3"/>
    <w:next w:val="1015"/>
    <w:link w:val="1005"/>
    <w:pPr>
      <w:pBdr/>
      <w:spacing/>
      <w:ind/>
    </w:pPr>
  </w:style>
  <w:style w:type="character" w:styleId="1016">
    <w:name w:val="WW8Num1z4"/>
    <w:next w:val="1016"/>
    <w:link w:val="1005"/>
    <w:pPr>
      <w:pBdr/>
      <w:spacing/>
      <w:ind/>
    </w:pPr>
  </w:style>
  <w:style w:type="character" w:styleId="1017">
    <w:name w:val="WW8Num1z5"/>
    <w:next w:val="1017"/>
    <w:link w:val="1005"/>
    <w:pPr>
      <w:pBdr/>
      <w:spacing/>
      <w:ind/>
    </w:pPr>
  </w:style>
  <w:style w:type="character" w:styleId="1018">
    <w:name w:val="WW8Num1z6"/>
    <w:next w:val="1018"/>
    <w:link w:val="1005"/>
    <w:pPr>
      <w:pBdr/>
      <w:spacing/>
      <w:ind/>
    </w:pPr>
  </w:style>
  <w:style w:type="character" w:styleId="1019">
    <w:name w:val="WW8Num1z7"/>
    <w:next w:val="1019"/>
    <w:link w:val="1005"/>
    <w:pPr>
      <w:pBdr/>
      <w:spacing/>
      <w:ind/>
    </w:pPr>
  </w:style>
  <w:style w:type="character" w:styleId="1020">
    <w:name w:val="WW8Num1z8"/>
    <w:next w:val="1020"/>
    <w:link w:val="1005"/>
    <w:pPr>
      <w:pBdr/>
      <w:spacing/>
      <w:ind/>
    </w:pPr>
  </w:style>
  <w:style w:type="character" w:styleId="1021">
    <w:name w:val="WW8Num2z0"/>
    <w:next w:val="1021"/>
    <w:link w:val="1005"/>
    <w:pPr>
      <w:pBdr/>
      <w:spacing/>
      <w:ind/>
    </w:pPr>
    <w:rPr>
      <w:rFonts w:ascii="Calibri" w:hAnsi="Calibri" w:cs="Arial"/>
      <w:b/>
      <w:color w:val="000000"/>
    </w:rPr>
  </w:style>
  <w:style w:type="character" w:styleId="1022">
    <w:name w:val="WW8Num2z1"/>
    <w:next w:val="1022"/>
    <w:link w:val="1005"/>
    <w:pPr>
      <w:pBdr/>
      <w:spacing/>
      <w:ind/>
    </w:pPr>
    <w:rPr>
      <w:rFonts w:ascii="Symbol" w:hAnsi="Symbol" w:cs="Symbol"/>
    </w:rPr>
  </w:style>
  <w:style w:type="character" w:styleId="1023">
    <w:name w:val="WW8Num2z2"/>
    <w:next w:val="1023"/>
    <w:link w:val="1005"/>
    <w:pPr>
      <w:pBdr/>
      <w:spacing/>
      <w:ind/>
    </w:pPr>
    <w:rPr>
      <w:rFonts w:ascii="Symbol" w:hAnsi="Symbol" w:cs="Symbol"/>
    </w:rPr>
  </w:style>
  <w:style w:type="character" w:styleId="1024">
    <w:name w:val="WW8Num3z0"/>
    <w:next w:val="1024"/>
    <w:link w:val="1005"/>
    <w:pPr>
      <w:pBdr/>
      <w:spacing/>
      <w:ind/>
    </w:pPr>
  </w:style>
  <w:style w:type="character" w:styleId="1025">
    <w:name w:val="WW8Num3z1"/>
    <w:next w:val="1025"/>
    <w:link w:val="1005"/>
    <w:pPr>
      <w:pBdr/>
      <w:spacing/>
      <w:ind/>
    </w:pPr>
  </w:style>
  <w:style w:type="character" w:styleId="1026">
    <w:name w:val="WW8Num3z2"/>
    <w:next w:val="1026"/>
    <w:link w:val="1005"/>
    <w:pPr>
      <w:pBdr/>
      <w:spacing/>
      <w:ind/>
    </w:pPr>
  </w:style>
  <w:style w:type="character" w:styleId="1027">
    <w:name w:val="WW8Num3z3"/>
    <w:next w:val="1027"/>
    <w:link w:val="1005"/>
    <w:pPr>
      <w:pBdr/>
      <w:spacing/>
      <w:ind/>
    </w:pPr>
  </w:style>
  <w:style w:type="character" w:styleId="1028">
    <w:name w:val="WW8Num3z4"/>
    <w:next w:val="1028"/>
    <w:link w:val="1005"/>
    <w:pPr>
      <w:pBdr/>
      <w:spacing/>
      <w:ind/>
    </w:pPr>
  </w:style>
  <w:style w:type="character" w:styleId="1029">
    <w:name w:val="WW8Num3z5"/>
    <w:next w:val="1029"/>
    <w:link w:val="1005"/>
    <w:pPr>
      <w:pBdr/>
      <w:spacing/>
      <w:ind/>
    </w:pPr>
  </w:style>
  <w:style w:type="character" w:styleId="1030">
    <w:name w:val="WW8Num3z6"/>
    <w:next w:val="1030"/>
    <w:link w:val="1005"/>
    <w:pPr>
      <w:pBdr/>
      <w:spacing/>
      <w:ind/>
    </w:pPr>
  </w:style>
  <w:style w:type="character" w:styleId="1031">
    <w:name w:val="WW8Num3z7"/>
    <w:next w:val="1031"/>
    <w:link w:val="1005"/>
    <w:pPr>
      <w:pBdr/>
      <w:spacing/>
      <w:ind/>
    </w:pPr>
  </w:style>
  <w:style w:type="character" w:styleId="1032">
    <w:name w:val="WW8Num3z8"/>
    <w:next w:val="1032"/>
    <w:link w:val="1005"/>
    <w:pPr>
      <w:pBdr/>
      <w:spacing/>
      <w:ind/>
    </w:pPr>
  </w:style>
  <w:style w:type="character" w:styleId="1033">
    <w:name w:val="WW8Num4z0"/>
    <w:next w:val="1033"/>
    <w:link w:val="1005"/>
    <w:pPr>
      <w:pBdr/>
      <w:spacing/>
      <w:ind/>
    </w:pPr>
    <w:rPr>
      <w:rFonts w:ascii="Wingdings" w:hAnsi="Wingdings" w:cs="Wingdings"/>
    </w:rPr>
  </w:style>
  <w:style w:type="character" w:styleId="1034">
    <w:name w:val="WW8Num4z1"/>
    <w:next w:val="1034"/>
    <w:link w:val="1005"/>
    <w:pPr>
      <w:pBdr/>
      <w:spacing/>
      <w:ind/>
    </w:pPr>
    <w:rPr>
      <w:rFonts w:ascii="Courier New" w:hAnsi="Courier New" w:cs="Courier New"/>
    </w:rPr>
  </w:style>
  <w:style w:type="character" w:styleId="1035">
    <w:name w:val="WW8Num4z3"/>
    <w:next w:val="1035"/>
    <w:link w:val="1005"/>
    <w:pPr>
      <w:pBdr/>
      <w:spacing/>
      <w:ind/>
    </w:pPr>
    <w:rPr>
      <w:rFonts w:ascii="Symbol" w:hAnsi="Symbol" w:cs="Symbol"/>
    </w:rPr>
  </w:style>
  <w:style w:type="character" w:styleId="1036">
    <w:name w:val="WW8Num5z0"/>
    <w:next w:val="1036"/>
    <w:link w:val="1005"/>
    <w:pPr>
      <w:pBdr/>
      <w:spacing/>
      <w:ind/>
    </w:pPr>
    <w:rPr>
      <w:rFonts w:ascii="Wingdings" w:hAnsi="Wingdings" w:cs="Wingdings"/>
    </w:rPr>
  </w:style>
  <w:style w:type="character" w:styleId="1037">
    <w:name w:val="WW8Num5z1"/>
    <w:next w:val="1037"/>
    <w:link w:val="1005"/>
    <w:pPr>
      <w:pBdr/>
      <w:spacing/>
      <w:ind/>
    </w:pPr>
    <w:rPr>
      <w:rFonts w:ascii="Courier New" w:hAnsi="Courier New" w:cs="Courier New"/>
    </w:rPr>
  </w:style>
  <w:style w:type="character" w:styleId="1038">
    <w:name w:val="WW8Num5z3"/>
    <w:next w:val="1038"/>
    <w:link w:val="1005"/>
    <w:pPr>
      <w:pBdr/>
      <w:spacing/>
      <w:ind/>
    </w:pPr>
    <w:rPr>
      <w:rFonts w:ascii="Symbol" w:hAnsi="Symbol" w:cs="Symbol"/>
    </w:rPr>
  </w:style>
  <w:style w:type="character" w:styleId="1039">
    <w:name w:val="WW8Num6z0"/>
    <w:next w:val="1039"/>
    <w:link w:val="1005"/>
    <w:pPr>
      <w:pBdr/>
      <w:spacing/>
      <w:ind/>
    </w:pPr>
  </w:style>
  <w:style w:type="character" w:styleId="1040">
    <w:name w:val="WW8Num6z1"/>
    <w:next w:val="1040"/>
    <w:link w:val="1005"/>
    <w:pPr>
      <w:pBdr/>
      <w:spacing/>
      <w:ind/>
    </w:pPr>
    <w:rPr>
      <w:rFonts w:ascii="Courier New" w:hAnsi="Courier New" w:cs="Courier New"/>
    </w:rPr>
  </w:style>
  <w:style w:type="character" w:styleId="1041">
    <w:name w:val="WW8Num6z2"/>
    <w:next w:val="1041"/>
    <w:link w:val="1005"/>
    <w:pPr>
      <w:pBdr/>
      <w:spacing/>
      <w:ind/>
    </w:pPr>
    <w:rPr>
      <w:rFonts w:ascii="Wingdings" w:hAnsi="Wingdings" w:cs="Wingdings"/>
    </w:rPr>
  </w:style>
  <w:style w:type="character" w:styleId="1042">
    <w:name w:val="WW8Num6z3"/>
    <w:next w:val="1042"/>
    <w:link w:val="1005"/>
    <w:pPr>
      <w:pBdr/>
      <w:spacing/>
      <w:ind/>
    </w:pPr>
    <w:rPr>
      <w:rFonts w:ascii="Symbol" w:hAnsi="Symbol" w:cs="Symbol"/>
    </w:rPr>
  </w:style>
  <w:style w:type="character" w:styleId="1043">
    <w:name w:val="WW8Num7z0"/>
    <w:next w:val="1043"/>
    <w:link w:val="1005"/>
    <w:pPr>
      <w:pBdr/>
      <w:spacing/>
      <w:ind/>
    </w:pPr>
  </w:style>
  <w:style w:type="character" w:styleId="1044">
    <w:name w:val="WW8Num7z1"/>
    <w:next w:val="1044"/>
    <w:link w:val="1005"/>
    <w:pPr>
      <w:pBdr/>
      <w:spacing/>
      <w:ind/>
    </w:pPr>
  </w:style>
  <w:style w:type="character" w:styleId="1045">
    <w:name w:val="WW8Num7z2"/>
    <w:next w:val="1045"/>
    <w:link w:val="1005"/>
    <w:pPr>
      <w:pBdr/>
      <w:spacing/>
      <w:ind/>
    </w:pPr>
  </w:style>
  <w:style w:type="character" w:styleId="1046">
    <w:name w:val="WW8Num7z3"/>
    <w:next w:val="1046"/>
    <w:link w:val="1005"/>
    <w:pPr>
      <w:pBdr/>
      <w:spacing/>
      <w:ind/>
    </w:pPr>
  </w:style>
  <w:style w:type="character" w:styleId="1047">
    <w:name w:val="WW8Num7z4"/>
    <w:next w:val="1047"/>
    <w:link w:val="1005"/>
    <w:pPr>
      <w:pBdr/>
      <w:spacing/>
      <w:ind/>
    </w:pPr>
  </w:style>
  <w:style w:type="character" w:styleId="1048">
    <w:name w:val="WW8Num7z5"/>
    <w:next w:val="1048"/>
    <w:link w:val="1005"/>
    <w:pPr>
      <w:pBdr/>
      <w:spacing/>
      <w:ind/>
    </w:pPr>
  </w:style>
  <w:style w:type="character" w:styleId="1049">
    <w:name w:val="WW8Num7z6"/>
    <w:next w:val="1049"/>
    <w:link w:val="1005"/>
    <w:pPr>
      <w:pBdr/>
      <w:spacing/>
      <w:ind/>
    </w:pPr>
  </w:style>
  <w:style w:type="character" w:styleId="1050">
    <w:name w:val="WW8Num7z7"/>
    <w:next w:val="1050"/>
    <w:link w:val="1005"/>
    <w:pPr>
      <w:pBdr/>
      <w:spacing/>
      <w:ind/>
    </w:pPr>
  </w:style>
  <w:style w:type="character" w:styleId="1051">
    <w:name w:val="WW8Num7z8"/>
    <w:next w:val="1051"/>
    <w:link w:val="1005"/>
    <w:pPr>
      <w:pBdr/>
      <w:spacing/>
      <w:ind/>
    </w:pPr>
  </w:style>
  <w:style w:type="character" w:styleId="1052">
    <w:name w:val="WW8Num8z0"/>
    <w:next w:val="1052"/>
    <w:link w:val="1005"/>
    <w:pPr>
      <w:pBdr/>
      <w:spacing/>
      <w:ind/>
    </w:pPr>
    <w:rPr>
      <w:rFonts w:ascii="Wingdings" w:hAnsi="Wingdings" w:cs="Wingdings"/>
    </w:rPr>
  </w:style>
  <w:style w:type="character" w:styleId="1053">
    <w:name w:val="WW8Num8z1"/>
    <w:next w:val="1053"/>
    <w:link w:val="1005"/>
    <w:pPr>
      <w:pBdr/>
      <w:spacing/>
      <w:ind/>
    </w:pPr>
    <w:rPr>
      <w:rFonts w:ascii="Courier New" w:hAnsi="Courier New" w:cs="Courier New"/>
    </w:rPr>
  </w:style>
  <w:style w:type="character" w:styleId="1054">
    <w:name w:val="WW8Num8z3"/>
    <w:next w:val="1054"/>
    <w:link w:val="1005"/>
    <w:pPr>
      <w:pBdr/>
      <w:spacing/>
      <w:ind/>
    </w:pPr>
    <w:rPr>
      <w:rFonts w:ascii="Symbol" w:hAnsi="Symbol" w:cs="Symbol"/>
    </w:rPr>
  </w:style>
  <w:style w:type="character" w:styleId="1055">
    <w:name w:val="WW8Num9z0"/>
    <w:next w:val="1055"/>
    <w:link w:val="1005"/>
    <w:pPr>
      <w:pBdr/>
      <w:spacing/>
      <w:ind/>
    </w:pPr>
    <w:rPr>
      <w:rFonts w:cs="Arial"/>
      <w:b/>
    </w:rPr>
  </w:style>
  <w:style w:type="character" w:styleId="1056">
    <w:name w:val="WW8Num9z1"/>
    <w:next w:val="1056"/>
    <w:link w:val="1005"/>
    <w:pPr>
      <w:pBdr/>
      <w:spacing/>
      <w:ind/>
    </w:pPr>
  </w:style>
  <w:style w:type="character" w:styleId="1057">
    <w:name w:val="WW8Num9z2"/>
    <w:next w:val="1057"/>
    <w:link w:val="1005"/>
    <w:pPr>
      <w:pBdr/>
      <w:spacing/>
      <w:ind/>
    </w:pPr>
  </w:style>
  <w:style w:type="character" w:styleId="1058">
    <w:name w:val="WW8Num9z3"/>
    <w:next w:val="1058"/>
    <w:link w:val="1005"/>
    <w:pPr>
      <w:pBdr/>
      <w:spacing/>
      <w:ind/>
    </w:pPr>
  </w:style>
  <w:style w:type="character" w:styleId="1059">
    <w:name w:val="WW8Num9z4"/>
    <w:next w:val="1059"/>
    <w:link w:val="1005"/>
    <w:pPr>
      <w:pBdr/>
      <w:spacing/>
      <w:ind/>
    </w:pPr>
  </w:style>
  <w:style w:type="character" w:styleId="1060">
    <w:name w:val="WW8Num9z5"/>
    <w:next w:val="1060"/>
    <w:link w:val="1005"/>
    <w:pPr>
      <w:pBdr/>
      <w:spacing/>
      <w:ind/>
    </w:pPr>
  </w:style>
  <w:style w:type="character" w:styleId="1061">
    <w:name w:val="WW8Num9z6"/>
    <w:next w:val="1061"/>
    <w:link w:val="1005"/>
    <w:pPr>
      <w:pBdr/>
      <w:spacing/>
      <w:ind/>
    </w:pPr>
  </w:style>
  <w:style w:type="character" w:styleId="1062">
    <w:name w:val="WW8Num9z7"/>
    <w:next w:val="1062"/>
    <w:link w:val="1005"/>
    <w:pPr>
      <w:pBdr/>
      <w:spacing/>
      <w:ind/>
    </w:pPr>
  </w:style>
  <w:style w:type="character" w:styleId="1063">
    <w:name w:val="WW8Num9z8"/>
    <w:next w:val="1063"/>
    <w:link w:val="1005"/>
    <w:pPr>
      <w:pBdr/>
      <w:spacing/>
      <w:ind/>
    </w:pPr>
  </w:style>
  <w:style w:type="character" w:styleId="1064">
    <w:name w:val="WW8Num10z0"/>
    <w:next w:val="1064"/>
    <w:link w:val="1005"/>
    <w:pPr>
      <w:pBdr/>
      <w:spacing/>
      <w:ind/>
    </w:pPr>
    <w:rPr>
      <w:rFonts w:ascii="Symbol" w:hAnsi="Symbol" w:cs="Symbol"/>
      <w:sz w:val="20"/>
    </w:rPr>
  </w:style>
  <w:style w:type="character" w:styleId="1065">
    <w:name w:val="WW8Num10z1"/>
    <w:next w:val="1065"/>
    <w:link w:val="1005"/>
    <w:pPr>
      <w:pBdr/>
      <w:spacing/>
      <w:ind/>
    </w:pPr>
    <w:rPr>
      <w:rFonts w:ascii="Courier New" w:hAnsi="Courier New" w:cs="Courier New"/>
      <w:sz w:val="20"/>
    </w:rPr>
  </w:style>
  <w:style w:type="character" w:styleId="1066">
    <w:name w:val="WW8Num10z2"/>
    <w:next w:val="1066"/>
    <w:link w:val="1005"/>
    <w:pPr>
      <w:pBdr/>
      <w:spacing/>
      <w:ind/>
    </w:pPr>
    <w:rPr>
      <w:rFonts w:ascii="Wingdings" w:hAnsi="Wingdings" w:cs="Wingdings"/>
      <w:sz w:val="20"/>
    </w:rPr>
  </w:style>
  <w:style w:type="character" w:styleId="1067">
    <w:name w:val="WW8Num11z0"/>
    <w:next w:val="1067"/>
    <w:link w:val="1005"/>
    <w:pPr>
      <w:pBdr/>
      <w:spacing/>
      <w:ind/>
    </w:pPr>
  </w:style>
  <w:style w:type="character" w:styleId="1068">
    <w:name w:val="WW8Num11z1"/>
    <w:next w:val="1068"/>
    <w:link w:val="1005"/>
    <w:pPr>
      <w:pBdr/>
      <w:spacing/>
      <w:ind/>
    </w:pPr>
  </w:style>
  <w:style w:type="character" w:styleId="1069">
    <w:name w:val="WW8Num11z2"/>
    <w:next w:val="1069"/>
    <w:link w:val="1005"/>
    <w:pPr>
      <w:pBdr/>
      <w:spacing/>
      <w:ind/>
    </w:pPr>
  </w:style>
  <w:style w:type="character" w:styleId="1070">
    <w:name w:val="WW8Num11z3"/>
    <w:next w:val="1070"/>
    <w:link w:val="1005"/>
    <w:pPr>
      <w:pBdr/>
      <w:spacing/>
      <w:ind/>
    </w:pPr>
  </w:style>
  <w:style w:type="character" w:styleId="1071">
    <w:name w:val="WW8Num11z4"/>
    <w:next w:val="1071"/>
    <w:link w:val="1005"/>
    <w:pPr>
      <w:pBdr/>
      <w:spacing/>
      <w:ind/>
    </w:pPr>
  </w:style>
  <w:style w:type="character" w:styleId="1072">
    <w:name w:val="WW8Num11z5"/>
    <w:next w:val="1072"/>
    <w:link w:val="1005"/>
    <w:pPr>
      <w:pBdr/>
      <w:spacing/>
      <w:ind/>
    </w:pPr>
  </w:style>
  <w:style w:type="character" w:styleId="1073">
    <w:name w:val="WW8Num11z6"/>
    <w:next w:val="1073"/>
    <w:link w:val="1005"/>
    <w:pPr>
      <w:pBdr/>
      <w:spacing/>
      <w:ind/>
    </w:pPr>
  </w:style>
  <w:style w:type="character" w:styleId="1074">
    <w:name w:val="WW8Num11z7"/>
    <w:next w:val="1074"/>
    <w:link w:val="1005"/>
    <w:pPr>
      <w:pBdr/>
      <w:spacing/>
      <w:ind/>
    </w:pPr>
  </w:style>
  <w:style w:type="character" w:styleId="1075">
    <w:name w:val="WW8Num11z8"/>
    <w:next w:val="1075"/>
    <w:link w:val="1005"/>
    <w:pPr>
      <w:pBdr/>
      <w:spacing/>
      <w:ind/>
    </w:pPr>
  </w:style>
  <w:style w:type="character" w:styleId="1076">
    <w:name w:val="WW8Num12z0"/>
    <w:next w:val="1076"/>
    <w:link w:val="1005"/>
    <w:pPr>
      <w:pBdr/>
      <w:spacing/>
      <w:ind/>
    </w:pPr>
    <w:rPr>
      <w:rFonts w:ascii="Wingdings" w:hAnsi="Wingdings" w:cs="Wingdings"/>
    </w:rPr>
  </w:style>
  <w:style w:type="character" w:styleId="1077">
    <w:name w:val="WW8Num12z1"/>
    <w:next w:val="1077"/>
    <w:link w:val="1005"/>
    <w:pPr>
      <w:pBdr/>
      <w:spacing/>
      <w:ind/>
    </w:pPr>
    <w:rPr>
      <w:rFonts w:ascii="Courier New" w:hAnsi="Courier New" w:cs="Courier New"/>
    </w:rPr>
  </w:style>
  <w:style w:type="character" w:styleId="1078">
    <w:name w:val="WW8Num12z3"/>
    <w:next w:val="1078"/>
    <w:link w:val="1005"/>
    <w:pPr>
      <w:pBdr/>
      <w:spacing/>
      <w:ind/>
    </w:pPr>
    <w:rPr>
      <w:rFonts w:ascii="Symbol" w:hAnsi="Symbol" w:cs="Symbol"/>
    </w:rPr>
  </w:style>
  <w:style w:type="character" w:styleId="1079">
    <w:name w:val="WW8Num13z0"/>
    <w:next w:val="1079"/>
    <w:link w:val="1005"/>
    <w:pPr>
      <w:pBdr/>
      <w:spacing/>
      <w:ind/>
    </w:pPr>
    <w:rPr>
      <w:rFonts w:ascii="Symbol" w:hAnsi="Symbol" w:cs="Symbol"/>
    </w:rPr>
  </w:style>
  <w:style w:type="character" w:styleId="1080">
    <w:name w:val="WW8Num13z1"/>
    <w:next w:val="1080"/>
    <w:link w:val="1005"/>
    <w:pPr>
      <w:pBdr/>
      <w:spacing/>
      <w:ind/>
    </w:pPr>
    <w:rPr>
      <w:rFonts w:ascii="Symbol" w:hAnsi="Symbol" w:cs="Symbol"/>
      <w:color w:val="000000"/>
    </w:rPr>
  </w:style>
  <w:style w:type="character" w:styleId="1081">
    <w:name w:val="WW8Num13z2"/>
    <w:next w:val="1081"/>
    <w:link w:val="1005"/>
    <w:pPr>
      <w:pBdr/>
      <w:spacing/>
      <w:ind/>
    </w:pPr>
    <w:rPr>
      <w:rFonts w:cs="Times New Roman"/>
    </w:rPr>
  </w:style>
  <w:style w:type="character" w:styleId="1082">
    <w:name w:val="WW8Num13z4"/>
    <w:next w:val="1082"/>
    <w:link w:val="1005"/>
    <w:pPr>
      <w:pBdr/>
      <w:spacing/>
      <w:ind/>
    </w:pPr>
    <w:rPr>
      <w:rFonts w:ascii="Courier New" w:hAnsi="Courier New" w:cs="Courier New"/>
    </w:rPr>
  </w:style>
  <w:style w:type="character" w:styleId="1083">
    <w:name w:val="WW8Num13z5"/>
    <w:next w:val="1083"/>
    <w:link w:val="1005"/>
    <w:pPr>
      <w:pBdr/>
      <w:spacing/>
      <w:ind/>
    </w:pPr>
    <w:rPr>
      <w:rFonts w:ascii="Wingdings" w:hAnsi="Wingdings" w:cs="Wingdings"/>
    </w:rPr>
  </w:style>
  <w:style w:type="character" w:styleId="1084">
    <w:name w:val="Domyślna czcionka akapitu1"/>
    <w:next w:val="1084"/>
    <w:link w:val="1005"/>
    <w:pPr>
      <w:pBdr/>
      <w:spacing/>
      <w:ind/>
    </w:pPr>
  </w:style>
  <w:style w:type="character" w:styleId="1085">
    <w:name w:val="Heading 1 Char"/>
    <w:next w:val="1085"/>
    <w:link w:val="1005"/>
    <w:pPr>
      <w:pBdr/>
      <w:spacing/>
      <w:ind/>
    </w:pPr>
    <w:rPr>
      <w:rFonts w:ascii="Cambria" w:hAnsi="Cambria" w:cs="Times New Roman"/>
      <w:b/>
      <w:bCs/>
      <w:sz w:val="32"/>
      <w:szCs w:val="32"/>
      <w:lang w:val="en-US"/>
    </w:rPr>
  </w:style>
  <w:style w:type="character" w:styleId="1086">
    <w:name w:val="Nagłówek Znak"/>
    <w:next w:val="1086"/>
    <w:link w:val="1005"/>
    <w:pPr>
      <w:pBdr/>
      <w:spacing/>
      <w:ind/>
    </w:pPr>
    <w:rPr>
      <w:rFonts w:cs="Times New Roman"/>
    </w:rPr>
  </w:style>
  <w:style w:type="character" w:styleId="1087">
    <w:name w:val="Stopka Znak"/>
    <w:next w:val="1087"/>
    <w:link w:val="1005"/>
    <w:uiPriority w:val="99"/>
    <w:pPr>
      <w:pBdr/>
      <w:spacing/>
      <w:ind/>
    </w:pPr>
    <w:rPr>
      <w:rFonts w:cs="Times New Roman"/>
    </w:rPr>
  </w:style>
  <w:style w:type="character" w:styleId="1088">
    <w:name w:val="Tekst dymka Znak"/>
    <w:next w:val="1088"/>
    <w:link w:val="1005"/>
    <w:pPr>
      <w:pBdr/>
      <w:spacing/>
      <w:ind/>
    </w:pPr>
    <w:rPr>
      <w:rFonts w:ascii="Tahoma" w:hAnsi="Tahoma" w:cs="Tahoma"/>
      <w:sz w:val="16"/>
      <w:szCs w:val="16"/>
    </w:rPr>
  </w:style>
  <w:style w:type="character" w:styleId="1089">
    <w:name w:val="Znak Znak12"/>
    <w:next w:val="1089"/>
    <w:link w:val="1005"/>
    <w:pPr>
      <w:pBdr/>
      <w:spacing/>
      <w:ind/>
    </w:pPr>
    <w:rPr>
      <w:sz w:val="24"/>
    </w:rPr>
  </w:style>
  <w:style w:type="character" w:styleId="1090">
    <w:name w:val="Znak Znak11"/>
    <w:next w:val="1090"/>
    <w:link w:val="1005"/>
    <w:pPr>
      <w:pBdr/>
      <w:spacing/>
      <w:ind/>
    </w:pPr>
    <w:rPr>
      <w:sz w:val="24"/>
    </w:rPr>
  </w:style>
  <w:style w:type="character" w:styleId="1091">
    <w:name w:val="Znak Znak10"/>
    <w:next w:val="1091"/>
    <w:link w:val="1005"/>
    <w:pPr>
      <w:pBdr/>
      <w:spacing/>
      <w:ind/>
    </w:pPr>
    <w:rPr>
      <w:rFonts w:ascii="Tahoma" w:hAnsi="Tahoma" w:cs="Tahoma"/>
      <w:sz w:val="16"/>
    </w:rPr>
  </w:style>
  <w:style w:type="character" w:styleId="1092">
    <w:name w:val="Hiperłącze"/>
    <w:next w:val="1092"/>
    <w:link w:val="1005"/>
    <w:pPr>
      <w:pBdr/>
      <w:spacing/>
      <w:ind/>
    </w:pPr>
    <w:rPr>
      <w:rFonts w:cs="Times New Roman"/>
      <w:color w:val="0000ff"/>
      <w:u w:val="single"/>
    </w:rPr>
  </w:style>
  <w:style w:type="character" w:styleId="1093">
    <w:name w:val="Subtitle Char"/>
    <w:next w:val="1093"/>
    <w:link w:val="1005"/>
    <w:pPr>
      <w:pBdr/>
      <w:spacing/>
      <w:ind/>
    </w:pPr>
    <w:rPr>
      <w:rFonts w:ascii="Cambria" w:hAnsi="Cambria" w:cs="Times New Roman"/>
      <w:sz w:val="24"/>
      <w:szCs w:val="24"/>
      <w:lang w:val="en-US"/>
    </w:rPr>
  </w:style>
  <w:style w:type="character" w:styleId="1094">
    <w:name w:val="Podtytuł Znak"/>
    <w:next w:val="1094"/>
    <w:link w:val="1005"/>
    <w:pPr>
      <w:pBdr/>
      <w:spacing/>
      <w:ind/>
    </w:pPr>
    <w:rPr>
      <w:rFonts w:ascii="Cambria" w:hAnsi="Cambria" w:cs="Cambria"/>
      <w:sz w:val="24"/>
    </w:rPr>
  </w:style>
  <w:style w:type="character" w:styleId="1095">
    <w:name w:val="Body Text Char"/>
    <w:next w:val="1095"/>
    <w:link w:val="1005"/>
    <w:pPr>
      <w:pBdr/>
      <w:spacing/>
      <w:ind/>
    </w:pPr>
    <w:rPr>
      <w:rFonts w:cs="Times New Roman"/>
      <w:lang w:val="en-US"/>
    </w:rPr>
  </w:style>
  <w:style w:type="character" w:styleId="1096">
    <w:name w:val="Tekst podstawowy Znak"/>
    <w:next w:val="1096"/>
    <w:link w:val="1005"/>
    <w:pPr>
      <w:pBdr/>
      <w:spacing/>
      <w:ind/>
    </w:pPr>
    <w:rPr>
      <w:sz w:val="24"/>
      <w:lang w:val="en-US" w:eastAsia="ar-SA" w:bidi="ar-SA"/>
    </w:rPr>
  </w:style>
  <w:style w:type="character" w:styleId="1097">
    <w:name w:val="Body Text 3 Char"/>
    <w:next w:val="1097"/>
    <w:link w:val="1005"/>
    <w:pPr>
      <w:pBdr/>
      <w:spacing/>
      <w:ind/>
    </w:pPr>
    <w:rPr>
      <w:rFonts w:cs="Times New Roman"/>
      <w:sz w:val="16"/>
      <w:szCs w:val="16"/>
      <w:lang w:val="en-US"/>
    </w:rPr>
  </w:style>
  <w:style w:type="character" w:styleId="1098">
    <w:name w:val="Tekst podstawowy 3 Znak"/>
    <w:next w:val="1098"/>
    <w:link w:val="1005"/>
    <w:pPr>
      <w:pBdr/>
      <w:spacing/>
      <w:ind/>
    </w:pPr>
    <w:rPr>
      <w:sz w:val="16"/>
    </w:rPr>
  </w:style>
  <w:style w:type="character" w:styleId="1099">
    <w:name w:val="Body Text 2 Char"/>
    <w:next w:val="1099"/>
    <w:link w:val="1005"/>
    <w:pPr>
      <w:pBdr/>
      <w:spacing/>
      <w:ind/>
    </w:pPr>
    <w:rPr>
      <w:rFonts w:cs="Times New Roman"/>
      <w:lang w:val="en-US"/>
    </w:rPr>
  </w:style>
  <w:style w:type="character" w:styleId="1100">
    <w:name w:val="Tekst podstawowy 2 Znak"/>
    <w:next w:val="1100"/>
    <w:link w:val="1155"/>
    <w:pPr>
      <w:pBdr/>
      <w:spacing/>
      <w:ind/>
    </w:pPr>
    <w:rPr>
      <w:sz w:val="24"/>
    </w:rPr>
  </w:style>
  <w:style w:type="character" w:styleId="1101">
    <w:name w:val="Nagłówek 1 Znak"/>
    <w:next w:val="1101"/>
    <w:link w:val="1005"/>
    <w:pPr>
      <w:pBdr/>
      <w:spacing/>
      <w:ind/>
    </w:pPr>
    <w:rPr>
      <w:rFonts w:eastAsia="Times New Roman"/>
      <w:b/>
      <w:sz w:val="24"/>
      <w:lang w:val="en-US" w:eastAsia="ar-SA" w:bidi="ar-SA"/>
    </w:rPr>
  </w:style>
  <w:style w:type="character" w:styleId="1102">
    <w:name w:val="Footnote Text Char"/>
    <w:next w:val="1102"/>
    <w:link w:val="1005"/>
    <w:pPr>
      <w:pBdr/>
      <w:spacing/>
      <w:ind/>
    </w:pPr>
    <w:rPr>
      <w:rFonts w:cs="Times New Roman"/>
      <w:sz w:val="20"/>
      <w:szCs w:val="20"/>
      <w:lang w:val="en-US"/>
    </w:rPr>
  </w:style>
  <w:style w:type="character" w:styleId="1103">
    <w:name w:val="Tekst przypisu dolnego Znak"/>
    <w:next w:val="1103"/>
    <w:link w:val="1005"/>
    <w:pPr>
      <w:pBdr/>
      <w:spacing/>
      <w:ind/>
    </w:pPr>
    <w:rPr>
      <w:rFonts w:ascii="Calibri" w:hAnsi="Calibri" w:cs="Calibri"/>
      <w:lang w:val="en-US" w:eastAsia="ar-SA" w:bidi="ar-SA"/>
    </w:rPr>
  </w:style>
  <w:style w:type="character" w:styleId="1104">
    <w:name w:val="Znaki przypisów dolnych"/>
    <w:next w:val="1104"/>
    <w:link w:val="1005"/>
    <w:pPr>
      <w:pBdr/>
      <w:spacing/>
      <w:ind/>
    </w:pPr>
    <w:rPr>
      <w:rFonts w:ascii="Times New Roman" w:hAnsi="Times New Roman" w:cs="Times New Roman"/>
      <w:vertAlign w:val="superscript"/>
    </w:rPr>
  </w:style>
  <w:style w:type="character" w:styleId="1105">
    <w:name w:val="Uwydatnienie"/>
    <w:next w:val="1105"/>
    <w:link w:val="1005"/>
    <w:uiPriority w:val="20"/>
    <w:qFormat/>
    <w:pPr>
      <w:pBdr/>
      <w:spacing/>
      <w:ind/>
    </w:pPr>
    <w:rPr>
      <w:rFonts w:ascii="Times New Roman" w:hAnsi="Times New Roman" w:cs="Times New Roman"/>
      <w:i/>
    </w:rPr>
  </w:style>
  <w:style w:type="character" w:styleId="1106">
    <w:name w:val="Title Char"/>
    <w:next w:val="1106"/>
    <w:link w:val="1005"/>
    <w:pPr>
      <w:pBdr/>
      <w:spacing/>
      <w:ind/>
    </w:pPr>
    <w:rPr>
      <w:rFonts w:ascii="Cambria" w:hAnsi="Cambria" w:cs="Times New Roman"/>
      <w:b/>
      <w:bCs/>
      <w:sz w:val="32"/>
      <w:szCs w:val="32"/>
      <w:lang w:val="en-US"/>
    </w:rPr>
  </w:style>
  <w:style w:type="character" w:styleId="1107">
    <w:name w:val="Tytuł Znak"/>
    <w:next w:val="1107"/>
    <w:link w:val="1005"/>
    <w:pPr>
      <w:pBdr/>
      <w:spacing/>
      <w:ind/>
    </w:pPr>
    <w:rPr>
      <w:rFonts w:ascii="Calibri" w:hAnsi="Calibri" w:cs="Calibri"/>
      <w:b/>
      <w:sz w:val="32"/>
      <w:lang w:val="en-US"/>
    </w:rPr>
  </w:style>
  <w:style w:type="character" w:styleId="1108">
    <w:name w:val="Odwołanie do komentarza1"/>
    <w:next w:val="1108"/>
    <w:link w:val="1005"/>
    <w:pPr>
      <w:pBdr/>
      <w:spacing/>
      <w:ind/>
    </w:pPr>
    <w:rPr>
      <w:rFonts w:cs="Times New Roman"/>
      <w:sz w:val="16"/>
    </w:rPr>
  </w:style>
  <w:style w:type="character" w:styleId="1109">
    <w:name w:val="Comment Text Char"/>
    <w:next w:val="1109"/>
    <w:link w:val="1005"/>
    <w:pPr>
      <w:pBdr/>
      <w:spacing/>
      <w:ind/>
    </w:pPr>
    <w:rPr>
      <w:rFonts w:cs="Times New Roman"/>
      <w:sz w:val="20"/>
      <w:szCs w:val="20"/>
      <w:lang w:val="en-US"/>
    </w:rPr>
  </w:style>
  <w:style w:type="character" w:styleId="1110">
    <w:name w:val="Tekst komentarza Znak"/>
    <w:next w:val="1110"/>
    <w:link w:val="1005"/>
    <w:pPr>
      <w:pBdr/>
      <w:spacing/>
      <w:ind/>
    </w:pPr>
    <w:rPr>
      <w:rFonts w:cs="Times New Roman"/>
      <w:lang w:val="pl-PL" w:eastAsia="ar-SA" w:bidi="ar-SA"/>
    </w:rPr>
  </w:style>
  <w:style w:type="character" w:styleId="1111">
    <w:name w:val="Comment Subject Char"/>
    <w:next w:val="1111"/>
    <w:link w:val="1005"/>
    <w:pPr>
      <w:pBdr/>
      <w:spacing/>
      <w:ind/>
    </w:pPr>
    <w:rPr>
      <w:rFonts w:cs="Times New Roman"/>
      <w:b/>
      <w:bCs/>
      <w:sz w:val="20"/>
      <w:szCs w:val="20"/>
      <w:lang w:val="pl-PL" w:eastAsia="ar-SA" w:bidi="ar-SA"/>
    </w:rPr>
  </w:style>
  <w:style w:type="character" w:styleId="1112">
    <w:name w:val="Temat komentarza Znak"/>
    <w:next w:val="1112"/>
    <w:link w:val="1005"/>
    <w:pPr>
      <w:pBdr/>
      <w:spacing/>
      <w:ind/>
    </w:pPr>
    <w:rPr>
      <w:b/>
    </w:rPr>
  </w:style>
  <w:style w:type="character" w:styleId="1113">
    <w:name w:val="Body Text Indent Char"/>
    <w:next w:val="1113"/>
    <w:link w:val="1005"/>
    <w:pPr>
      <w:pBdr/>
      <w:spacing/>
      <w:ind/>
    </w:pPr>
    <w:rPr>
      <w:rFonts w:cs="Times New Roman"/>
      <w:lang w:val="en-US"/>
    </w:rPr>
  </w:style>
  <w:style w:type="character" w:styleId="1114">
    <w:name w:val="Tekst podstawowy wcięty Znak"/>
    <w:next w:val="1114"/>
    <w:link w:val="1005"/>
    <w:pPr>
      <w:pBdr/>
      <w:spacing/>
      <w:ind/>
    </w:pPr>
    <w:rPr>
      <w:sz w:val="24"/>
    </w:rPr>
  </w:style>
  <w:style w:type="character" w:styleId="1115">
    <w:name w:val="Body Text First Indent 2 Char"/>
    <w:next w:val="1115"/>
    <w:link w:val="1005"/>
    <w:pPr>
      <w:pBdr/>
      <w:spacing/>
      <w:ind/>
    </w:pPr>
    <w:rPr>
      <w:rFonts w:cs="Times New Roman"/>
      <w:sz w:val="24"/>
      <w:lang w:val="en-US"/>
    </w:rPr>
  </w:style>
  <w:style w:type="character" w:styleId="1116">
    <w:name w:val="Tekst podstawowy z wcięciem 2 Znak"/>
    <w:next w:val="1116"/>
    <w:link w:val="1005"/>
    <w:pPr>
      <w:pBdr/>
      <w:spacing/>
      <w:ind/>
    </w:pPr>
    <w:rPr>
      <w:rFonts w:cs="Times New Roman"/>
      <w:sz w:val="24"/>
      <w:szCs w:val="24"/>
      <w:lang w:eastAsia="ar-SA" w:bidi="ar-SA"/>
    </w:rPr>
  </w:style>
  <w:style w:type="character" w:styleId="1117">
    <w:name w:val="Pogrubienie"/>
    <w:next w:val="1117"/>
    <w:link w:val="1005"/>
    <w:qFormat/>
    <w:pPr>
      <w:pBdr/>
      <w:spacing/>
      <w:ind/>
    </w:pPr>
    <w:rPr>
      <w:rFonts w:cs="Times New Roman"/>
      <w:b/>
      <w:bCs/>
    </w:rPr>
  </w:style>
  <w:style w:type="character" w:styleId="1118">
    <w:name w:val="Znaki przypisów końcowych"/>
    <w:next w:val="1118"/>
    <w:link w:val="1005"/>
    <w:pPr>
      <w:pBdr/>
      <w:spacing/>
      <w:ind/>
    </w:pPr>
    <w:rPr>
      <w:vertAlign w:val="superscript"/>
    </w:rPr>
  </w:style>
  <w:style w:type="character" w:styleId="1119">
    <w:name w:val="Normalny (Web) Znak"/>
    <w:next w:val="1119"/>
    <w:link w:val="1005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1120">
    <w:name w:val="_xbe"/>
    <w:next w:val="1120"/>
    <w:link w:val="1005"/>
    <w:pPr>
      <w:pBdr/>
      <w:spacing/>
      <w:ind/>
    </w:pPr>
  </w:style>
  <w:style w:type="character" w:styleId="1121">
    <w:name w:val="Nagłówek 4 Znak"/>
    <w:next w:val="1121"/>
    <w:link w:val="1005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122">
    <w:name w:val="Numer strony"/>
    <w:basedOn w:val="1084"/>
    <w:next w:val="1122"/>
    <w:link w:val="1005"/>
    <w:pPr>
      <w:pBdr/>
      <w:spacing/>
      <w:ind/>
    </w:pPr>
  </w:style>
  <w:style w:type="character" w:styleId="1123">
    <w:name w:val="Symbole wypunktowania"/>
    <w:next w:val="1123"/>
    <w:link w:val="1005"/>
    <w:pPr>
      <w:pBdr/>
      <w:spacing/>
      <w:ind/>
    </w:pPr>
    <w:rPr>
      <w:rFonts w:ascii="OpenSymbol" w:hAnsi="OpenSymbol" w:eastAsia="OpenSymbol" w:cs="OpenSymbol"/>
    </w:rPr>
  </w:style>
  <w:style w:type="paragraph" w:styleId="1124">
    <w:name w:val="Nagłówek1"/>
    <w:basedOn w:val="1005"/>
    <w:next w:val="1125"/>
    <w:link w:val="1005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1125">
    <w:name w:val="Tekst podstawowy"/>
    <w:basedOn w:val="1005"/>
    <w:next w:val="1125"/>
    <w:link w:val="1005"/>
    <w:pPr>
      <w:pBdr/>
      <w:spacing w:after="120" w:before="0" w:line="240" w:lineRule="auto"/>
      <w:ind/>
    </w:pPr>
    <w:rPr>
      <w:sz w:val="24"/>
      <w:szCs w:val="20"/>
      <w:lang w:val="en-US"/>
    </w:rPr>
  </w:style>
  <w:style w:type="paragraph" w:styleId="1126">
    <w:name w:val="Lista"/>
    <w:basedOn w:val="1125"/>
    <w:next w:val="1126"/>
    <w:link w:val="1005"/>
    <w:pPr>
      <w:pBdr/>
      <w:spacing/>
      <w:ind/>
    </w:pPr>
    <w:rPr>
      <w:rFonts w:cs="Mangal"/>
    </w:rPr>
  </w:style>
  <w:style w:type="paragraph" w:styleId="1127">
    <w:name w:val="Podpis1"/>
    <w:basedOn w:val="1005"/>
    <w:next w:val="1127"/>
    <w:link w:val="1005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128">
    <w:name w:val="Indeks"/>
    <w:basedOn w:val="1005"/>
    <w:next w:val="1128"/>
    <w:link w:val="1005"/>
    <w:pPr>
      <w:suppressLineNumbers w:val="true"/>
      <w:pBdr/>
      <w:spacing/>
      <w:ind/>
    </w:pPr>
    <w:rPr>
      <w:rFonts w:cs="Mangal"/>
    </w:rPr>
  </w:style>
  <w:style w:type="paragraph" w:styleId="1129">
    <w:name w:val="Nagłówek"/>
    <w:basedOn w:val="1005"/>
    <w:next w:val="1129"/>
    <w:link w:val="1005"/>
    <w:pPr>
      <w:pBdr/>
      <w:tabs>
        <w:tab w:val="center" w:leader="none" w:pos="4536"/>
        <w:tab w:val="right" w:leader="none" w:pos="9072"/>
      </w:tabs>
      <w:spacing w:after="0" w:before="0" w:line="240" w:lineRule="auto"/>
      <w:ind/>
    </w:pPr>
    <w:rPr>
      <w:sz w:val="20"/>
      <w:szCs w:val="20"/>
      <w:lang w:val="en-US"/>
    </w:rPr>
  </w:style>
  <w:style w:type="paragraph" w:styleId="1130">
    <w:name w:val="Stopka"/>
    <w:basedOn w:val="1005"/>
    <w:next w:val="1130"/>
    <w:link w:val="1005"/>
    <w:uiPriority w:val="99"/>
    <w:pPr>
      <w:pBdr/>
      <w:tabs>
        <w:tab w:val="center" w:leader="none" w:pos="4536"/>
        <w:tab w:val="right" w:leader="none" w:pos="9072"/>
      </w:tabs>
      <w:spacing w:after="0" w:before="0" w:line="240" w:lineRule="auto"/>
      <w:ind/>
    </w:pPr>
    <w:rPr>
      <w:sz w:val="20"/>
      <w:szCs w:val="20"/>
      <w:lang w:val="en-US"/>
    </w:rPr>
  </w:style>
  <w:style w:type="paragraph" w:styleId="1131">
    <w:name w:val="Tekst dymka"/>
    <w:basedOn w:val="1005"/>
    <w:next w:val="1131"/>
    <w:link w:val="1005"/>
    <w:pPr>
      <w:pBdr/>
      <w:spacing w:after="0" w:before="0" w:line="240" w:lineRule="auto"/>
      <w:ind/>
    </w:pPr>
    <w:rPr>
      <w:rFonts w:ascii="Tahoma" w:hAnsi="Tahoma" w:cs="Tahoma"/>
      <w:sz w:val="16"/>
      <w:szCs w:val="16"/>
      <w:lang w:val="en-US"/>
    </w:rPr>
  </w:style>
  <w:style w:type="paragraph" w:styleId="1132">
    <w:name w:val="List Paragraph"/>
    <w:basedOn w:val="1005"/>
    <w:next w:val="1132"/>
    <w:link w:val="1005"/>
    <w:pPr>
      <w:pBdr/>
      <w:spacing w:after="0" w:before="0" w:line="240" w:lineRule="auto"/>
      <w:ind w:right="0" w:firstLine="0" w:left="720"/>
    </w:pPr>
    <w:rPr>
      <w:rFonts w:ascii="Times New Roman" w:hAnsi="Times New Roman" w:cs="Times New Roman"/>
      <w:sz w:val="24"/>
      <w:szCs w:val="24"/>
    </w:rPr>
  </w:style>
  <w:style w:type="paragraph" w:styleId="1133">
    <w:name w:val="Podtytuł"/>
    <w:basedOn w:val="1005"/>
    <w:next w:val="1005"/>
    <w:link w:val="1005"/>
    <w:qFormat/>
    <w:pPr>
      <w:pBdr/>
      <w:spacing w:after="60" w:before="0" w:line="240" w:lineRule="auto"/>
      <w:ind/>
      <w:jc w:val="center"/>
    </w:pPr>
    <w:rPr>
      <w:rFonts w:ascii="Cambria" w:hAnsi="Cambria" w:cs="Cambria"/>
      <w:sz w:val="24"/>
      <w:szCs w:val="20"/>
      <w:lang w:val="en-US"/>
    </w:rPr>
  </w:style>
  <w:style w:type="paragraph" w:styleId="1134">
    <w:name w:val="Tekst podstawowy 31"/>
    <w:basedOn w:val="1005"/>
    <w:next w:val="1134"/>
    <w:link w:val="1005"/>
    <w:pPr>
      <w:pBdr/>
      <w:spacing w:after="120" w:before="0" w:line="240" w:lineRule="auto"/>
      <w:ind/>
    </w:pPr>
    <w:rPr>
      <w:sz w:val="16"/>
      <w:szCs w:val="20"/>
      <w:lang w:val="en-US"/>
    </w:rPr>
  </w:style>
  <w:style w:type="paragraph" w:styleId="1135">
    <w:name w:val="wyliczenie"/>
    <w:basedOn w:val="1005"/>
    <w:next w:val="1135"/>
    <w:link w:val="1005"/>
    <w:pPr>
      <w:numPr>
        <w:ilvl w:val="0"/>
        <w:numId w:val="2"/>
      </w:numPr>
      <w:pBdr/>
      <w:tabs>
        <w:tab w:val="left" w:leader="none" w:pos="-2340"/>
      </w:tabs>
      <w:spacing w:after="0" w:before="0" w:line="240" w:lineRule="auto"/>
      <w:ind/>
    </w:pPr>
    <w:rPr>
      <w:rFonts w:ascii="Times New Roman" w:hAnsi="Times New Roman" w:cs="Times New Roman"/>
      <w:sz w:val="24"/>
      <w:szCs w:val="24"/>
    </w:rPr>
  </w:style>
  <w:style w:type="paragraph" w:styleId="1136">
    <w:name w:val="FR2"/>
    <w:next w:val="1136"/>
    <w:link w:val="1005"/>
    <w:pPr>
      <w:widowControl w:val="false"/>
      <w:pBdr/>
      <w:spacing w:before="20"/>
      <w:ind/>
      <w:jc w:val="both"/>
    </w:pPr>
    <w:rPr>
      <w:rFonts w:ascii="Arial" w:hAnsi="Arial" w:cs="Arial"/>
      <w:lang w:val="pl-PL" w:eastAsia="ar-SA" w:bidi="ar-SA"/>
    </w:rPr>
  </w:style>
  <w:style w:type="paragraph" w:styleId="1137">
    <w:name w:val="Tekst podstawowy 21"/>
    <w:basedOn w:val="1005"/>
    <w:next w:val="1137"/>
    <w:link w:val="1005"/>
    <w:pPr>
      <w:pBdr/>
      <w:spacing w:after="120" w:before="0" w:line="480" w:lineRule="auto"/>
      <w:ind/>
    </w:pPr>
    <w:rPr>
      <w:sz w:val="24"/>
      <w:szCs w:val="20"/>
      <w:lang w:val="en-US"/>
    </w:rPr>
  </w:style>
  <w:style w:type="paragraph" w:styleId="1138">
    <w:name w:val="Akapit z listą"/>
    <w:basedOn w:val="1005"/>
    <w:next w:val="1138"/>
    <w:link w:val="1005"/>
    <w:qFormat/>
    <w:pPr>
      <w:pBdr/>
      <w:spacing w:after="0" w:before="0" w:line="240" w:lineRule="auto"/>
      <w:ind w:right="0" w:firstLine="0" w:left="708"/>
    </w:pPr>
    <w:rPr>
      <w:rFonts w:ascii="Times New Roman" w:hAnsi="Times New Roman" w:cs="Times New Roman"/>
      <w:sz w:val="24"/>
      <w:szCs w:val="24"/>
    </w:rPr>
  </w:style>
  <w:style w:type="paragraph" w:styleId="1139">
    <w:name w:val="Tekst przypisu dolnego"/>
    <w:basedOn w:val="1005"/>
    <w:next w:val="1139"/>
    <w:link w:val="1005"/>
    <w:pPr>
      <w:pBdr/>
      <w:spacing w:after="0" w:before="0" w:line="240" w:lineRule="auto"/>
      <w:ind/>
    </w:pPr>
    <w:rPr>
      <w:sz w:val="20"/>
      <w:szCs w:val="20"/>
      <w:lang w:val="en-US"/>
    </w:rPr>
  </w:style>
  <w:style w:type="paragraph" w:styleId="1140">
    <w:name w:val="Tekst podstawowy z wcięciem 21"/>
    <w:basedOn w:val="1005"/>
    <w:next w:val="1140"/>
    <w:link w:val="1005"/>
    <w:pPr>
      <w:pBdr/>
      <w:spacing w:after="120" w:before="0" w:line="240" w:lineRule="auto"/>
      <w:ind w:right="0" w:firstLine="210" w:left="283"/>
    </w:pPr>
    <w:rPr>
      <w:rFonts w:ascii="Times New Roman" w:hAnsi="Times New Roman" w:cs="Times New Roman"/>
      <w:sz w:val="20"/>
      <w:szCs w:val="20"/>
      <w:lang w:val="en-US"/>
    </w:rPr>
  </w:style>
  <w:style w:type="paragraph" w:styleId="1141">
    <w:name w:val="Tytuł"/>
    <w:basedOn w:val="1005"/>
    <w:next w:val="1133"/>
    <w:link w:val="1005"/>
    <w:qFormat/>
    <w:pPr>
      <w:pBdr/>
      <w:spacing w:after="0" w:before="0" w:line="240" w:lineRule="auto"/>
      <w:ind/>
      <w:jc w:val="center"/>
    </w:pPr>
    <w:rPr>
      <w:b/>
      <w:sz w:val="32"/>
      <w:szCs w:val="20"/>
      <w:lang w:val="en-US"/>
    </w:rPr>
  </w:style>
  <w:style w:type="paragraph" w:styleId="1142">
    <w:name w:val="Tekst komentarza1"/>
    <w:basedOn w:val="1005"/>
    <w:next w:val="1142"/>
    <w:link w:val="1005"/>
    <w:pPr>
      <w:pBdr/>
      <w:spacing w:after="0" w:before="0" w:line="240" w:lineRule="auto"/>
      <w:ind/>
    </w:pPr>
    <w:rPr>
      <w:sz w:val="20"/>
      <w:szCs w:val="20"/>
    </w:rPr>
  </w:style>
  <w:style w:type="paragraph" w:styleId="1143">
    <w:name w:val="Temat komentarza"/>
    <w:basedOn w:val="1142"/>
    <w:next w:val="1142"/>
    <w:link w:val="1005"/>
    <w:pPr>
      <w:pBdr/>
      <w:spacing/>
      <w:ind/>
    </w:pPr>
    <w:rPr>
      <w:b/>
      <w:lang w:val="en-US"/>
    </w:rPr>
  </w:style>
  <w:style w:type="paragraph" w:styleId="1144">
    <w:name w:val="Poprawka"/>
    <w:next w:val="1144"/>
    <w:link w:val="1005"/>
    <w:pPr>
      <w:pBdr/>
      <w:spacing/>
      <w:ind/>
      <w:jc w:val="both"/>
    </w:pPr>
    <w:rPr>
      <w:sz w:val="24"/>
      <w:szCs w:val="24"/>
      <w:lang w:val="pl-PL" w:eastAsia="ar-SA" w:bidi="ar-SA"/>
    </w:rPr>
  </w:style>
  <w:style w:type="paragraph" w:styleId="1145">
    <w:name w:val="Tekst podstawowy wcięty"/>
    <w:basedOn w:val="1005"/>
    <w:next w:val="1145"/>
    <w:link w:val="1005"/>
    <w:pPr>
      <w:pBdr/>
      <w:spacing w:after="120" w:before="0" w:line="240" w:lineRule="auto"/>
      <w:ind w:right="0" w:firstLine="0" w:left="283"/>
    </w:pPr>
    <w:rPr>
      <w:sz w:val="24"/>
      <w:szCs w:val="20"/>
      <w:lang w:val="en-US"/>
    </w:rPr>
  </w:style>
  <w:style w:type="paragraph" w:styleId="1146">
    <w:name w:val="Tekst podstawowy z wcięciem 22"/>
    <w:basedOn w:val="1145"/>
    <w:next w:val="1146"/>
    <w:link w:val="1005"/>
    <w:pPr>
      <w:pBdr/>
      <w:spacing/>
      <w:ind w:right="0" w:firstLine="210" w:left="283"/>
    </w:pPr>
    <w:rPr>
      <w:szCs w:val="24"/>
    </w:rPr>
  </w:style>
  <w:style w:type="paragraph" w:styleId="1147">
    <w:name w:val="Tekst przypisu końcowego"/>
    <w:basedOn w:val="1005"/>
    <w:next w:val="1147"/>
    <w:link w:val="1005"/>
    <w:pPr>
      <w:pBdr/>
      <w:spacing/>
      <w:ind/>
    </w:pPr>
    <w:rPr>
      <w:sz w:val="20"/>
      <w:szCs w:val="20"/>
    </w:rPr>
  </w:style>
  <w:style w:type="paragraph" w:styleId="1148">
    <w:name w:val="Normalny (Web)"/>
    <w:basedOn w:val="1005"/>
    <w:next w:val="1148"/>
    <w:link w:val="1005"/>
    <w:pPr>
      <w:pBdr/>
      <w:spacing w:after="280" w:before="280" w:line="240" w:lineRule="auto"/>
      <w:ind/>
    </w:pPr>
    <w:rPr>
      <w:rFonts w:ascii="Times New Roman" w:hAnsi="Times New Roman" w:cs="Times New Roman"/>
      <w:sz w:val="24"/>
      <w:szCs w:val="24"/>
      <w:lang w:val="en-US"/>
    </w:rPr>
  </w:style>
  <w:style w:type="paragraph" w:styleId="1149">
    <w:name w:val="Standard"/>
    <w:next w:val="1149"/>
    <w:link w:val="1005"/>
    <w:pPr>
      <w:widowControl w:val="false"/>
      <w:pBdr/>
      <w:spacing/>
      <w:ind/>
      <w:jc w:val="both"/>
    </w:pPr>
    <w:rPr>
      <w:rFonts w:eastAsia="Lucida Sans Unicode" w:cs="Tahoma"/>
      <w:sz w:val="24"/>
      <w:szCs w:val="24"/>
      <w:lang w:val="pl-PL" w:eastAsia="ar-SA" w:bidi="ar-SA"/>
    </w:rPr>
  </w:style>
  <w:style w:type="paragraph" w:styleId="1150">
    <w:name w:val="Bez odstępów"/>
    <w:next w:val="1150"/>
    <w:link w:val="1005"/>
    <w:qFormat/>
    <w:pPr>
      <w:pBdr/>
      <w:spacing/>
      <w:ind/>
      <w:jc w:val="both"/>
    </w:pPr>
    <w:rPr>
      <w:rFonts w:ascii="Calibri" w:hAnsi="Calibri"/>
      <w:sz w:val="22"/>
      <w:szCs w:val="22"/>
      <w:lang w:val="pl-PL" w:eastAsia="ar-SA" w:bidi="ar-SA"/>
    </w:rPr>
  </w:style>
  <w:style w:type="paragraph" w:styleId="1151">
    <w:name w:val="WW-Domyślnie"/>
    <w:next w:val="1151"/>
    <w:link w:val="1005"/>
    <w:pPr>
      <w:pBdr/>
      <w:tabs>
        <w:tab w:val="left" w:leader="none" w:pos="708"/>
      </w:tabs>
      <w:spacing w:after="160" w:line="252" w:lineRule="auto"/>
      <w:ind/>
    </w:pPr>
    <w:rPr>
      <w:rFonts w:ascii="Calibri" w:hAnsi="Calibri" w:eastAsia="Calibri"/>
      <w:sz w:val="22"/>
      <w:szCs w:val="22"/>
      <w:lang w:val="pl-PL" w:eastAsia="ar-SA" w:bidi="ar-SA"/>
    </w:rPr>
  </w:style>
  <w:style w:type="paragraph" w:styleId="1152">
    <w:name w:val="WW-Domyślnie1"/>
    <w:next w:val="1152"/>
    <w:link w:val="1005"/>
    <w:pPr>
      <w:pBdr/>
      <w:tabs>
        <w:tab w:val="left" w:leader="none" w:pos="708"/>
      </w:tabs>
      <w:spacing w:after="160" w:line="252" w:lineRule="auto"/>
      <w:ind/>
    </w:pPr>
    <w:rPr>
      <w:rFonts w:ascii="Calibri" w:hAnsi="Calibri" w:eastAsia="SimSun" w:cs="Calibri"/>
      <w:sz w:val="22"/>
      <w:szCs w:val="22"/>
      <w:lang w:val="pl-PL" w:eastAsia="ar-SA" w:bidi="ar-SA"/>
    </w:rPr>
  </w:style>
  <w:style w:type="paragraph" w:styleId="1153">
    <w:name w:val="Zawartość tabeli"/>
    <w:basedOn w:val="1005"/>
    <w:next w:val="1153"/>
    <w:link w:val="1005"/>
    <w:pPr>
      <w:suppressLineNumbers w:val="true"/>
      <w:pBdr/>
      <w:spacing/>
      <w:ind/>
    </w:pPr>
  </w:style>
  <w:style w:type="paragraph" w:styleId="1154">
    <w:name w:val="Nagłówek tabeli"/>
    <w:basedOn w:val="1153"/>
    <w:next w:val="1154"/>
    <w:link w:val="1005"/>
    <w:pPr>
      <w:suppressLineNumbers w:val="true"/>
      <w:pBdr/>
      <w:spacing/>
      <w:ind/>
      <w:jc w:val="center"/>
    </w:pPr>
    <w:rPr>
      <w:b/>
      <w:bCs/>
    </w:rPr>
  </w:style>
  <w:style w:type="paragraph" w:styleId="1155">
    <w:name w:val="Tekst podstawowy 2"/>
    <w:basedOn w:val="1005"/>
    <w:next w:val="1155"/>
    <w:link w:val="1100"/>
    <w:pPr>
      <w:pBdr/>
      <w:spacing w:after="120" w:line="480" w:lineRule="auto"/>
      <w:ind/>
      <w:jc w:val="left"/>
    </w:pPr>
    <w:rPr>
      <w:rFonts w:ascii="Times New Roman" w:hAnsi="Times New Roman"/>
      <w:sz w:val="24"/>
      <w:szCs w:val="20"/>
      <w:lang w:eastAsia="pl-PL"/>
    </w:rPr>
  </w:style>
  <w:style w:type="character" w:styleId="1156">
    <w:name w:val="Tekst podstawowy 2 Znak1"/>
    <w:next w:val="1156"/>
    <w:link w:val="1005"/>
    <w:uiPriority w:val="99"/>
    <w:semiHidden/>
    <w:pPr>
      <w:pBdr/>
      <w:spacing/>
      <w:ind/>
    </w:pPr>
    <w:rPr>
      <w:rFonts w:ascii="Calibri" w:hAnsi="Calibri"/>
      <w:sz w:val="22"/>
      <w:szCs w:val="22"/>
      <w:lang w:eastAsia="ar-SA"/>
    </w:rPr>
  </w:style>
  <w:style w:type="character" w:styleId="1157">
    <w:name w:val="Nagłówek 3 Znak"/>
    <w:next w:val="1157"/>
    <w:link w:val="1007"/>
    <w:uiPriority w:val="9"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1158">
    <w:name w:val="st"/>
    <w:next w:val="1158"/>
    <w:link w:val="1005"/>
    <w:pPr>
      <w:pBdr/>
      <w:spacing/>
      <w:ind/>
    </w:pPr>
  </w:style>
  <w:style w:type="paragraph" w:styleId="1159" w:customStyle="1">
    <w:name w:val="Body Text Indent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pl-PL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www.w3.org/TR/WCAG20/" TargetMode="External"/><Relationship Id="rId12" Type="http://schemas.openxmlformats.org/officeDocument/2006/relationships/hyperlink" Target="https://cisstrzyzow.pl/mapa-strony" TargetMode="External"/><Relationship Id="rId13" Type="http://schemas.openxmlformats.org/officeDocument/2006/relationships/hyperlink" Target="https://cisstrzyzow.pl/deklaracja-dostepnosci/" TargetMode="External"/><Relationship Id="rId14" Type="http://schemas.openxmlformats.org/officeDocument/2006/relationships/hyperlink" Target="https://cisstrzyzow.pl/deklaracja-dostepnosc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user</dc:creator>
  <cp:revision>13</cp:revision>
  <dcterms:created xsi:type="dcterms:W3CDTF">2019-12-02T12:10:00Z</dcterms:created>
  <dcterms:modified xsi:type="dcterms:W3CDTF">2026-04-27T10:32:13Z</dcterms:modified>
  <cp:version>917504</cp:version>
</cp:coreProperties>
</file>